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44" w:type="pct"/>
        <w:tblInd w:w="-318" w:type="dxa"/>
        <w:tblLook w:val="01E0"/>
      </w:tblPr>
      <w:tblGrid>
        <w:gridCol w:w="5653"/>
        <w:gridCol w:w="4682"/>
      </w:tblGrid>
      <w:tr w:rsidR="00953860" w:rsidRPr="0034151C" w:rsidTr="00E22479">
        <w:tc>
          <w:tcPr>
            <w:tcW w:w="2735" w:type="pct"/>
          </w:tcPr>
          <w:p w:rsidR="00953860" w:rsidRPr="0034151C" w:rsidRDefault="00953860" w:rsidP="005748C2">
            <w:pPr>
              <w:ind w:right="72"/>
              <w:jc w:val="center"/>
              <w:rPr>
                <w:rFonts w:ascii=".VnTimeH" w:hAnsi=".VnTimeH"/>
                <w:b/>
                <w:sz w:val="23"/>
                <w:szCs w:val="23"/>
                <w:lang w:val="de-DE"/>
              </w:rPr>
            </w:pPr>
            <w:r w:rsidRPr="0034151C">
              <w:rPr>
                <w:sz w:val="26"/>
                <w:szCs w:val="22"/>
                <w:lang w:val="de-DE"/>
              </w:rPr>
              <w:t>BỘ KHOA HỌC VÀ CÔNG NGHỆ</w:t>
            </w:r>
            <w:r w:rsidRPr="0034151C">
              <w:rPr>
                <w:rFonts w:ascii=".VnTimeH" w:hAnsi=".VnTimeH"/>
                <w:sz w:val="23"/>
                <w:szCs w:val="23"/>
                <w:lang w:val="de-DE"/>
              </w:rPr>
              <w:br/>
            </w:r>
            <w:r w:rsidRPr="0034151C">
              <w:rPr>
                <w:b/>
                <w:lang w:val="de-DE"/>
              </w:rPr>
              <w:t>CỤC AN TOÀN BỨC XẠ VÀ HẠT NHÂN</w:t>
            </w:r>
          </w:p>
          <w:p w:rsidR="00953860" w:rsidRPr="0034151C" w:rsidRDefault="00953860" w:rsidP="005748C2">
            <w:pPr>
              <w:ind w:right="72"/>
              <w:jc w:val="center"/>
              <w:rPr>
                <w:lang w:val="de-DE"/>
              </w:rPr>
            </w:pPr>
            <w:r w:rsidRPr="0034151C">
              <w:rPr>
                <w:lang w:val="de-DE"/>
              </w:rPr>
              <w:t>---</w:t>
            </w:r>
          </w:p>
          <w:p w:rsidR="00953860" w:rsidRPr="0034151C" w:rsidRDefault="00953860" w:rsidP="005748C2">
            <w:pPr>
              <w:ind w:right="72"/>
              <w:jc w:val="center"/>
              <w:rPr>
                <w:lang w:val="de-DE"/>
              </w:rPr>
            </w:pPr>
            <w:r w:rsidRPr="0034151C">
              <w:rPr>
                <w:lang w:val="de-DE"/>
              </w:rPr>
              <w:t>Số:             /BC-ATBXHN</w:t>
            </w:r>
          </w:p>
          <w:p w:rsidR="00953860" w:rsidRPr="0034151C" w:rsidRDefault="00953860" w:rsidP="007F1BD0">
            <w:pPr>
              <w:ind w:right="72"/>
              <w:jc w:val="center"/>
              <w:rPr>
                <w:lang w:val="de-DE"/>
              </w:rPr>
            </w:pPr>
            <w:r w:rsidRPr="0034151C">
              <w:rPr>
                <w:lang w:val="de-DE"/>
              </w:rPr>
              <w:t xml:space="preserve">V/v: báo cáo </w:t>
            </w:r>
            <w:r w:rsidR="00FC3D96">
              <w:rPr>
                <w:lang w:val="de-DE"/>
              </w:rPr>
              <w:t>của lãnh đạo tại Đại hội CNVC năm 2015</w:t>
            </w:r>
          </w:p>
          <w:p w:rsidR="008E37B1" w:rsidRPr="0034151C" w:rsidRDefault="008E37B1" w:rsidP="007F1BD0">
            <w:pPr>
              <w:ind w:right="72"/>
              <w:jc w:val="center"/>
              <w:rPr>
                <w:b/>
                <w:color w:val="FF0000"/>
                <w:lang w:val="de-DE"/>
              </w:rPr>
            </w:pPr>
          </w:p>
        </w:tc>
        <w:tc>
          <w:tcPr>
            <w:tcW w:w="2265" w:type="pct"/>
          </w:tcPr>
          <w:p w:rsidR="00953860" w:rsidRPr="0034151C" w:rsidRDefault="00953860" w:rsidP="005748C2">
            <w:pPr>
              <w:pStyle w:val="Heading1"/>
              <w:ind w:left="313" w:right="-108"/>
              <w:rPr>
                <w:sz w:val="20"/>
              </w:rPr>
            </w:pPr>
            <w:r w:rsidRPr="0034151C">
              <w:rPr>
                <w:sz w:val="20"/>
              </w:rPr>
              <w:t xml:space="preserve">Céng hoµ x· héi chñ nghÜa ViÖt </w:t>
            </w:r>
            <w:smartTag w:uri="urn:schemas-microsoft-com:office:smarttags" w:element="country-region">
              <w:smartTag w:uri="urn:schemas-microsoft-com:office:smarttags" w:element="place">
                <w:r w:rsidRPr="0034151C">
                  <w:rPr>
                    <w:sz w:val="20"/>
                  </w:rPr>
                  <w:t>Nam</w:t>
                </w:r>
              </w:smartTag>
            </w:smartTag>
          </w:p>
          <w:p w:rsidR="00953860" w:rsidRPr="0034151C" w:rsidRDefault="00953860" w:rsidP="005748C2">
            <w:pPr>
              <w:ind w:left="313" w:right="-108"/>
              <w:jc w:val="center"/>
              <w:rPr>
                <w:rFonts w:ascii=".VnTime" w:hAnsi=".VnTime"/>
                <w:b/>
                <w:szCs w:val="26"/>
                <w:lang w:val="pt-BR"/>
              </w:rPr>
            </w:pPr>
            <w:r w:rsidRPr="0034151C">
              <w:rPr>
                <w:rFonts w:ascii=".VnTime" w:hAnsi=".VnTime"/>
                <w:b/>
                <w:szCs w:val="26"/>
                <w:lang w:val="pt-BR"/>
              </w:rPr>
              <w:t>§éc lËp - Tù do - H¹nh phóc</w:t>
            </w:r>
          </w:p>
          <w:p w:rsidR="00E22479" w:rsidRPr="0034151C" w:rsidRDefault="00E22479" w:rsidP="00E22479">
            <w:pPr>
              <w:spacing w:before="120" w:after="120"/>
              <w:ind w:left="619"/>
              <w:jc w:val="center"/>
              <w:rPr>
                <w:i/>
                <w:sz w:val="26"/>
                <w:lang w:val="pt-BR"/>
              </w:rPr>
            </w:pPr>
            <w:r w:rsidRPr="0034151C">
              <w:rPr>
                <w:i/>
                <w:noProof/>
                <w:sz w:val="26"/>
              </w:rPr>
              <w:pict>
                <v:shapetype id="_x0000_t32" coordsize="21600,21600" o:spt="32" o:oned="t" path="m,l21600,21600e" filled="f">
                  <v:path arrowok="t" fillok="f" o:connecttype="none"/>
                  <o:lock v:ext="edit" shapetype="t"/>
                </v:shapetype>
                <v:shape id="_x0000_s1029" type="#_x0000_t32" style="position:absolute;left:0;text-align:left;margin-left:49.05pt;margin-top:1.5pt;width:151.25pt;height:.05pt;z-index:251657728" o:connectortype="straight"/>
              </w:pict>
            </w:r>
          </w:p>
          <w:p w:rsidR="00953860" w:rsidRPr="0034151C" w:rsidRDefault="00E22479" w:rsidP="00315182">
            <w:pPr>
              <w:spacing w:before="120" w:after="120"/>
              <w:rPr>
                <w:spacing w:val="-40"/>
                <w:sz w:val="18"/>
                <w:szCs w:val="18"/>
                <w:lang w:val="pt-BR"/>
              </w:rPr>
            </w:pPr>
            <w:r w:rsidRPr="0034151C">
              <w:rPr>
                <w:i/>
                <w:sz w:val="26"/>
                <w:lang w:val="pt-BR"/>
              </w:rPr>
              <w:t xml:space="preserve">Hà Nội, ngày </w:t>
            </w:r>
            <w:r w:rsidR="0099356D" w:rsidRPr="0034151C">
              <w:rPr>
                <w:i/>
                <w:sz w:val="26"/>
                <w:lang w:val="pt-BR"/>
              </w:rPr>
              <w:t xml:space="preserve"> </w:t>
            </w:r>
            <w:r w:rsidR="00FC3D96">
              <w:rPr>
                <w:i/>
                <w:sz w:val="26"/>
                <w:lang w:val="pt-BR"/>
              </w:rPr>
              <w:t>31   tháng 12</w:t>
            </w:r>
            <w:r w:rsidRPr="0034151C">
              <w:rPr>
                <w:i/>
                <w:sz w:val="26"/>
                <w:lang w:val="pt-BR"/>
              </w:rPr>
              <w:t xml:space="preserve"> năm 2015</w:t>
            </w:r>
          </w:p>
        </w:tc>
      </w:tr>
    </w:tbl>
    <w:p w:rsidR="00953860" w:rsidRPr="0034151C" w:rsidRDefault="00953860" w:rsidP="00953860">
      <w:pPr>
        <w:jc w:val="both"/>
        <w:rPr>
          <w:rFonts w:ascii=".VnTimeH" w:hAnsi=".VnTimeH"/>
          <w:b/>
          <w:sz w:val="2"/>
          <w:szCs w:val="26"/>
          <w:lang w:val="pt-BR"/>
        </w:rPr>
      </w:pPr>
    </w:p>
    <w:p w:rsidR="007F1BD0" w:rsidRPr="0034151C" w:rsidRDefault="007F1BD0" w:rsidP="007F1BD0">
      <w:pPr>
        <w:spacing w:before="240"/>
        <w:jc w:val="center"/>
        <w:rPr>
          <w:b/>
          <w:color w:val="0033CC"/>
          <w:sz w:val="28"/>
          <w:szCs w:val="28"/>
          <w:lang w:val="pt-BR"/>
        </w:rPr>
      </w:pPr>
      <w:r w:rsidRPr="0034151C">
        <w:rPr>
          <w:b/>
          <w:color w:val="0033CC"/>
          <w:sz w:val="28"/>
          <w:szCs w:val="28"/>
          <w:lang w:val="pt-BR"/>
        </w:rPr>
        <w:t xml:space="preserve">BÁO CÁO </w:t>
      </w:r>
      <w:r w:rsidR="00371BED">
        <w:rPr>
          <w:b/>
          <w:color w:val="0033CC"/>
          <w:sz w:val="28"/>
          <w:szCs w:val="28"/>
          <w:lang w:val="pt-BR"/>
        </w:rPr>
        <w:t xml:space="preserve">KẾT QUẢ THỰC HIỆN NHIỆM VỤ CHÍNH TRỊ </w:t>
      </w:r>
      <w:r w:rsidRPr="0034151C">
        <w:rPr>
          <w:b/>
          <w:color w:val="0033CC"/>
          <w:sz w:val="28"/>
          <w:szCs w:val="28"/>
          <w:lang w:val="pt-BR"/>
        </w:rPr>
        <w:t>NĂM 2015</w:t>
      </w:r>
    </w:p>
    <w:p w:rsidR="007F1BD0" w:rsidRPr="0034151C" w:rsidRDefault="00371BED" w:rsidP="007F1BD0">
      <w:pPr>
        <w:spacing w:after="240"/>
        <w:jc w:val="center"/>
        <w:rPr>
          <w:b/>
          <w:color w:val="0033CC"/>
          <w:sz w:val="28"/>
          <w:szCs w:val="28"/>
          <w:lang w:val="pt-BR"/>
        </w:rPr>
      </w:pPr>
      <w:r>
        <w:rPr>
          <w:b/>
          <w:color w:val="0000FF"/>
          <w:sz w:val="28"/>
          <w:szCs w:val="28"/>
          <w:lang w:val="de-DE"/>
        </w:rPr>
        <w:t xml:space="preserve"> TRỌNG TÂM </w:t>
      </w:r>
      <w:r w:rsidR="007F1BD0" w:rsidRPr="0034151C">
        <w:rPr>
          <w:b/>
          <w:color w:val="0000FF"/>
          <w:sz w:val="28"/>
          <w:szCs w:val="28"/>
          <w:lang w:val="de-DE"/>
        </w:rPr>
        <w:t xml:space="preserve">CÔNG TÁC NĂM 2016 </w:t>
      </w:r>
    </w:p>
    <w:p w:rsidR="00371BED" w:rsidRDefault="00371BED" w:rsidP="00371BED">
      <w:pPr>
        <w:numPr>
          <w:ilvl w:val="0"/>
          <w:numId w:val="33"/>
        </w:numPr>
        <w:spacing w:after="120"/>
        <w:jc w:val="both"/>
        <w:rPr>
          <w:b/>
          <w:color w:val="0000CC"/>
          <w:sz w:val="28"/>
          <w:szCs w:val="28"/>
          <w:lang w:val="pt-BR"/>
        </w:rPr>
      </w:pPr>
      <w:r>
        <w:rPr>
          <w:b/>
          <w:color w:val="0000CC"/>
          <w:sz w:val="28"/>
          <w:szCs w:val="28"/>
          <w:lang w:val="pt-BR"/>
        </w:rPr>
        <w:t>Kết quả thực hiện nhiệm vụ chính trị năm 2015</w:t>
      </w:r>
    </w:p>
    <w:p w:rsidR="008B4A94" w:rsidRPr="0034151C" w:rsidRDefault="00221939" w:rsidP="00371BED">
      <w:pPr>
        <w:numPr>
          <w:ilvl w:val="0"/>
          <w:numId w:val="34"/>
        </w:numPr>
        <w:spacing w:after="120"/>
        <w:jc w:val="both"/>
        <w:rPr>
          <w:b/>
          <w:color w:val="0000CC"/>
          <w:sz w:val="28"/>
          <w:szCs w:val="28"/>
          <w:lang w:val="de-DE"/>
        </w:rPr>
      </w:pPr>
      <w:r w:rsidRPr="0034151C">
        <w:rPr>
          <w:b/>
          <w:color w:val="0000CC"/>
          <w:sz w:val="28"/>
          <w:szCs w:val="28"/>
          <w:lang w:val="pt-BR"/>
        </w:rPr>
        <w:t xml:space="preserve">Công tác </w:t>
      </w:r>
      <w:r w:rsidR="00CD41EC" w:rsidRPr="0034151C">
        <w:rPr>
          <w:b/>
          <w:color w:val="0000CC"/>
          <w:sz w:val="28"/>
          <w:lang w:val="de-DE"/>
        </w:rPr>
        <w:t>xây dựng văn bản quy phạm pháp luật năm 2015</w:t>
      </w:r>
    </w:p>
    <w:p w:rsidR="00CB1455" w:rsidRPr="0034151C" w:rsidRDefault="00371BED" w:rsidP="00727305">
      <w:pPr>
        <w:tabs>
          <w:tab w:val="num" w:pos="1134"/>
        </w:tabs>
        <w:spacing w:after="120"/>
        <w:ind w:firstLine="567"/>
        <w:jc w:val="both"/>
        <w:outlineLvl w:val="0"/>
        <w:rPr>
          <w:b/>
          <w:color w:val="0000CC"/>
          <w:sz w:val="28"/>
          <w:szCs w:val="28"/>
          <w:lang w:val="pt-BR"/>
        </w:rPr>
      </w:pPr>
      <w:r>
        <w:rPr>
          <w:b/>
          <w:color w:val="0000CC"/>
          <w:sz w:val="28"/>
          <w:szCs w:val="28"/>
          <w:lang w:val="pt-BR"/>
        </w:rPr>
        <w:t>1</w:t>
      </w:r>
      <w:r w:rsidR="00495256" w:rsidRPr="0034151C">
        <w:rPr>
          <w:b/>
          <w:color w:val="0000CC"/>
          <w:sz w:val="28"/>
          <w:szCs w:val="28"/>
          <w:lang w:val="pt-BR"/>
        </w:rPr>
        <w:t>.</w:t>
      </w:r>
      <w:r w:rsidR="00953860" w:rsidRPr="0034151C">
        <w:rPr>
          <w:b/>
          <w:color w:val="0000CC"/>
          <w:sz w:val="28"/>
          <w:szCs w:val="28"/>
          <w:lang w:val="pt-BR"/>
        </w:rPr>
        <w:t>1.</w:t>
      </w:r>
      <w:r w:rsidR="00315182">
        <w:rPr>
          <w:b/>
          <w:color w:val="0000CC"/>
          <w:sz w:val="28"/>
          <w:szCs w:val="28"/>
          <w:lang w:val="pt-BR"/>
        </w:rPr>
        <w:t xml:space="preserve"> Xây dựng khung văn bản pháp luật về điện hạt nhân</w:t>
      </w:r>
      <w:r w:rsidR="00CB1455" w:rsidRPr="0034151C">
        <w:rPr>
          <w:b/>
          <w:color w:val="0000CC"/>
          <w:sz w:val="28"/>
          <w:szCs w:val="28"/>
          <w:lang w:val="pt-BR"/>
        </w:rPr>
        <w:t xml:space="preserve"> </w:t>
      </w:r>
    </w:p>
    <w:p w:rsidR="00CD41EC" w:rsidRPr="0034151C" w:rsidRDefault="00CD41EC" w:rsidP="00CD41EC">
      <w:pPr>
        <w:spacing w:after="120"/>
        <w:ind w:firstLine="567"/>
        <w:jc w:val="both"/>
        <w:rPr>
          <w:rFonts w:eastAsia="Calibri"/>
          <w:sz w:val="28"/>
          <w:szCs w:val="28"/>
          <w:lang w:val="pt-BR"/>
        </w:rPr>
      </w:pPr>
      <w:r w:rsidRPr="0034151C">
        <w:rPr>
          <w:rFonts w:eastAsia="Calibri"/>
          <w:sz w:val="28"/>
          <w:szCs w:val="28"/>
          <w:lang w:val="pt-BR"/>
        </w:rPr>
        <w:t>Hoàn thiện dự thảo Tờ trình và dự thảo Danh mục văn bản pháp luật về điện hạt nhân giai đoạn 201</w:t>
      </w:r>
      <w:r w:rsidRPr="0034151C">
        <w:rPr>
          <w:sz w:val="28"/>
          <w:szCs w:val="28"/>
          <w:lang w:val="pt-BR"/>
        </w:rPr>
        <w:t>6</w:t>
      </w:r>
      <w:r w:rsidRPr="0034151C">
        <w:rPr>
          <w:rFonts w:eastAsia="Calibri"/>
          <w:sz w:val="28"/>
          <w:szCs w:val="28"/>
          <w:lang w:val="pt-BR"/>
        </w:rPr>
        <w:t>-2020 (sửa đổi Danh mục đã được Thủ tướng Chính phủ phê duyệt tại công văn số 248/TTg-KTN ngày 19/02/2003).</w:t>
      </w:r>
    </w:p>
    <w:p w:rsidR="00CB1455" w:rsidRPr="0034151C" w:rsidRDefault="00CD41EC" w:rsidP="00CD41EC">
      <w:pPr>
        <w:tabs>
          <w:tab w:val="num" w:pos="1134"/>
        </w:tabs>
        <w:spacing w:after="120"/>
        <w:ind w:firstLine="567"/>
        <w:jc w:val="both"/>
        <w:outlineLvl w:val="0"/>
        <w:rPr>
          <w:color w:val="FF0000"/>
          <w:sz w:val="28"/>
          <w:szCs w:val="28"/>
          <w:lang w:val="pt-BR"/>
        </w:rPr>
      </w:pPr>
      <w:r w:rsidRPr="0034151C">
        <w:rPr>
          <w:rFonts w:eastAsia="Calibri"/>
          <w:sz w:val="28"/>
          <w:szCs w:val="28"/>
          <w:lang w:val="pt-BR"/>
        </w:rPr>
        <w:t xml:space="preserve">Cục ATBXHN đã phối hợp với các đơn vị liên quan ở trong và ngoài Bộ tổ chức nghiên cứu, </w:t>
      </w:r>
      <w:r w:rsidR="00FF40CF">
        <w:rPr>
          <w:rFonts w:eastAsia="Calibri"/>
          <w:sz w:val="28"/>
          <w:szCs w:val="28"/>
          <w:lang w:val="pt-BR"/>
        </w:rPr>
        <w:t xml:space="preserve">xây dựng </w:t>
      </w:r>
      <w:r w:rsidRPr="0034151C">
        <w:rPr>
          <w:rFonts w:eastAsia="Calibri"/>
          <w:sz w:val="28"/>
          <w:szCs w:val="28"/>
          <w:lang w:val="pt-BR"/>
        </w:rPr>
        <w:t xml:space="preserve">dự thảo Danh mục các văn bản pháp luật về điện hạt nhân giai đoạn 2016-2020. Hiện tại đang tổng hợp ý kiến của các Bộ ngành liên quan, hoàn chỉnh Hồ sơ trình Thủ tướng Chính phủ </w:t>
      </w:r>
      <w:r w:rsidR="00FF40CF">
        <w:rPr>
          <w:rFonts w:eastAsia="Calibri"/>
          <w:sz w:val="28"/>
          <w:szCs w:val="28"/>
          <w:lang w:val="pt-BR"/>
        </w:rPr>
        <w:t>phê duyệ</w:t>
      </w:r>
      <w:r w:rsidR="00FC3D96">
        <w:rPr>
          <w:rFonts w:eastAsia="Calibri"/>
          <w:sz w:val="28"/>
          <w:szCs w:val="28"/>
          <w:lang w:val="pt-BR"/>
        </w:rPr>
        <w:t>t</w:t>
      </w:r>
      <w:r w:rsidRPr="0034151C">
        <w:rPr>
          <w:rFonts w:eastAsia="Calibri"/>
          <w:sz w:val="28"/>
          <w:szCs w:val="28"/>
          <w:lang w:val="pt-BR"/>
        </w:rPr>
        <w:t>.</w:t>
      </w:r>
    </w:p>
    <w:p w:rsidR="00CB1455" w:rsidRPr="0034151C" w:rsidRDefault="00371BED" w:rsidP="00CD41EC">
      <w:pPr>
        <w:tabs>
          <w:tab w:val="num" w:pos="1134"/>
        </w:tabs>
        <w:spacing w:after="120"/>
        <w:ind w:firstLine="567"/>
        <w:jc w:val="both"/>
        <w:outlineLvl w:val="0"/>
        <w:rPr>
          <w:b/>
          <w:color w:val="0000FF"/>
          <w:sz w:val="28"/>
          <w:szCs w:val="28"/>
          <w:lang w:val="pt-BR"/>
        </w:rPr>
      </w:pPr>
      <w:r>
        <w:rPr>
          <w:b/>
          <w:color w:val="0000FF"/>
          <w:sz w:val="28"/>
          <w:szCs w:val="28"/>
          <w:lang w:val="pt-BR"/>
        </w:rPr>
        <w:t>1</w:t>
      </w:r>
      <w:r w:rsidR="00495256" w:rsidRPr="0034151C">
        <w:rPr>
          <w:b/>
          <w:color w:val="0000FF"/>
          <w:sz w:val="28"/>
          <w:szCs w:val="28"/>
          <w:lang w:val="pt-BR"/>
        </w:rPr>
        <w:t>.</w:t>
      </w:r>
      <w:r w:rsidR="00953860" w:rsidRPr="0034151C">
        <w:rPr>
          <w:b/>
          <w:color w:val="0000FF"/>
          <w:sz w:val="28"/>
          <w:szCs w:val="28"/>
          <w:lang w:val="pt-BR"/>
        </w:rPr>
        <w:t xml:space="preserve">2. </w:t>
      </w:r>
      <w:r w:rsidR="00CD41EC" w:rsidRPr="0034151C">
        <w:rPr>
          <w:b/>
          <w:color w:val="0000CC"/>
          <w:sz w:val="28"/>
          <w:szCs w:val="28"/>
          <w:lang w:val="pt-BR"/>
        </w:rPr>
        <w:t>Thực hiện Dự án Luật năng lượng nguyên tử (sửa đổi)</w:t>
      </w:r>
    </w:p>
    <w:p w:rsidR="00CD41EC" w:rsidRPr="0034151C" w:rsidRDefault="00CD41EC" w:rsidP="00CD41EC">
      <w:pPr>
        <w:spacing w:after="120"/>
        <w:ind w:firstLine="720"/>
        <w:jc w:val="both"/>
        <w:rPr>
          <w:sz w:val="28"/>
          <w:szCs w:val="28"/>
          <w:lang w:val="nl-NL"/>
        </w:rPr>
      </w:pPr>
      <w:r w:rsidRPr="0034151C">
        <w:rPr>
          <w:sz w:val="28"/>
          <w:szCs w:val="28"/>
          <w:lang w:val="nl-NL"/>
        </w:rPr>
        <w:t>Thực hiện Quyết định của Thủ tướng Chính phủ số 1273/QĐ-TTg ngày 07/8/2015 phân công cơ quan chủ trì soạn thảo các dự án luật, pháp lệnh được điều chỉnh trong Chương trình xây dựng luật, pháp lệnh khóa XIII, năm 2015 và Chương trình xây dựng luật, pháp lệnh năm 2016 (Nghị quyết số 89/2015/QH12 ngày 09/6/2015), Bộ KH&amp;CN được giao chủ trì soạn thảo Luật năng lượng nguyên tử (sửa đổi) trình Quốc hội vào tháng 10/2016. Là đơn vị được Bộ trưởng giao chủ trì thực hiện nhiệm vụ này, Cục ATBXHN đã:</w:t>
      </w:r>
    </w:p>
    <w:p w:rsidR="00CD41EC" w:rsidRPr="0034151C" w:rsidRDefault="00CD41EC" w:rsidP="00CD41EC">
      <w:pPr>
        <w:spacing w:after="120"/>
        <w:ind w:firstLine="720"/>
        <w:jc w:val="both"/>
        <w:rPr>
          <w:sz w:val="28"/>
          <w:szCs w:val="28"/>
          <w:lang w:val="nl-NL"/>
        </w:rPr>
      </w:pPr>
      <w:r w:rsidRPr="0034151C">
        <w:rPr>
          <w:sz w:val="28"/>
          <w:szCs w:val="28"/>
          <w:lang w:val="nl-NL"/>
        </w:rPr>
        <w:t>- Trình Bộ trưởng quyết định kiện toàn Ban soạn thảo và Tổ biên tập (Bộ trưởng đã ký Quyết định số 2068/QĐ-BKHCN ngày 17/8/2015 về việc thành lập Ban soạn thảo và Tổ biên tập Dự án Luật năng lượng nguyên tử (sửa đổi);</w:t>
      </w:r>
    </w:p>
    <w:p w:rsidR="00CD41EC" w:rsidRPr="0034151C" w:rsidRDefault="00CD41EC" w:rsidP="00CD41EC">
      <w:pPr>
        <w:spacing w:after="120"/>
        <w:ind w:firstLine="720"/>
        <w:jc w:val="both"/>
        <w:rPr>
          <w:sz w:val="28"/>
          <w:szCs w:val="28"/>
          <w:lang w:val="nl-NL"/>
        </w:rPr>
      </w:pPr>
      <w:r w:rsidRPr="0034151C">
        <w:rPr>
          <w:sz w:val="28"/>
          <w:szCs w:val="28"/>
          <w:lang w:val="nl-NL"/>
        </w:rPr>
        <w:t>- Chủ trì tổ chức Phiên họp đầu tiên của Ban soạn thảo và Tổ biên tập (ngày 24/9/2015);</w:t>
      </w:r>
    </w:p>
    <w:p w:rsidR="00303A23" w:rsidRPr="0034151C" w:rsidRDefault="00CD41EC" w:rsidP="00CD41EC">
      <w:pPr>
        <w:spacing w:after="120"/>
        <w:ind w:firstLine="567"/>
        <w:jc w:val="both"/>
        <w:rPr>
          <w:sz w:val="28"/>
          <w:szCs w:val="28"/>
          <w:lang w:val="nl-NL"/>
        </w:rPr>
      </w:pPr>
      <w:r w:rsidRPr="0034151C">
        <w:rPr>
          <w:sz w:val="28"/>
          <w:szCs w:val="28"/>
          <w:lang w:val="nl-NL"/>
        </w:rPr>
        <w:t>- Tổ chức họp các chuyên gia để xây dựng dự thảo (3-4 buổi/tuần): Hiện nay đang tập hợp các nội dung, hoàn thiện Dự thảo số 0 của Luật đ</w:t>
      </w:r>
      <w:r w:rsidR="00DA7903" w:rsidRPr="0034151C">
        <w:rPr>
          <w:sz w:val="28"/>
          <w:szCs w:val="28"/>
          <w:lang w:val="nl-NL"/>
        </w:rPr>
        <w:t>ể báo cáo Ban soạn thảo vào trong tháng 12</w:t>
      </w:r>
      <w:r w:rsidRPr="0034151C">
        <w:rPr>
          <w:sz w:val="28"/>
          <w:szCs w:val="28"/>
          <w:lang w:val="nl-NL"/>
        </w:rPr>
        <w:t>/2015.</w:t>
      </w:r>
    </w:p>
    <w:p w:rsidR="00CD41EC" w:rsidRPr="00FC3D96" w:rsidRDefault="00371BED" w:rsidP="00FC3D96">
      <w:pPr>
        <w:spacing w:after="120"/>
        <w:ind w:firstLine="567"/>
        <w:jc w:val="both"/>
        <w:rPr>
          <w:b/>
          <w:color w:val="0000CC"/>
          <w:sz w:val="28"/>
          <w:szCs w:val="28"/>
          <w:lang w:val="de-DE"/>
        </w:rPr>
      </w:pPr>
      <w:r>
        <w:rPr>
          <w:b/>
          <w:color w:val="0000CC"/>
          <w:sz w:val="28"/>
          <w:szCs w:val="28"/>
          <w:lang w:val="de-DE"/>
        </w:rPr>
        <w:t>1</w:t>
      </w:r>
      <w:r w:rsidR="00495256" w:rsidRPr="0034151C">
        <w:rPr>
          <w:b/>
          <w:color w:val="0000CC"/>
          <w:sz w:val="28"/>
          <w:szCs w:val="28"/>
          <w:lang w:val="de-DE"/>
        </w:rPr>
        <w:t>.</w:t>
      </w:r>
      <w:r w:rsidR="00953860" w:rsidRPr="0034151C">
        <w:rPr>
          <w:b/>
          <w:color w:val="0000CC"/>
          <w:sz w:val="28"/>
          <w:szCs w:val="28"/>
          <w:lang w:val="de-DE"/>
        </w:rPr>
        <w:t>3.</w:t>
      </w:r>
      <w:r w:rsidR="00FC3D96">
        <w:rPr>
          <w:b/>
          <w:color w:val="0000CC"/>
          <w:sz w:val="28"/>
          <w:szCs w:val="28"/>
          <w:lang w:val="de-DE"/>
        </w:rPr>
        <w:t xml:space="preserve"> Xây dựng văn bản quy phạm pháp luật</w:t>
      </w:r>
      <w:r w:rsidR="00CB1455" w:rsidRPr="0034151C">
        <w:rPr>
          <w:b/>
          <w:color w:val="0000CC"/>
          <w:sz w:val="28"/>
          <w:szCs w:val="28"/>
          <w:lang w:val="de-DE"/>
        </w:rPr>
        <w:t xml:space="preserve"> </w:t>
      </w:r>
      <w:r w:rsidR="00FC3D96">
        <w:rPr>
          <w:b/>
          <w:color w:val="0000CC"/>
          <w:sz w:val="28"/>
          <w:szCs w:val="28"/>
          <w:lang w:val="de-DE"/>
        </w:rPr>
        <w:t>dưới luật</w:t>
      </w:r>
      <w:r w:rsidR="00315182">
        <w:rPr>
          <w:b/>
          <w:color w:val="0000CC"/>
          <w:sz w:val="28"/>
          <w:szCs w:val="28"/>
          <w:lang w:val="de-DE"/>
        </w:rPr>
        <w:t xml:space="preserve"> </w:t>
      </w:r>
    </w:p>
    <w:p w:rsidR="00FC3D96" w:rsidRDefault="00CD41EC" w:rsidP="00FC3D96">
      <w:pPr>
        <w:numPr>
          <w:ilvl w:val="0"/>
          <w:numId w:val="35"/>
        </w:numPr>
        <w:spacing w:after="120"/>
        <w:jc w:val="both"/>
        <w:rPr>
          <w:rFonts w:eastAsia="Calibri"/>
          <w:sz w:val="28"/>
          <w:szCs w:val="28"/>
          <w:lang w:val="pt-BR"/>
        </w:rPr>
      </w:pPr>
      <w:r w:rsidRPr="0034151C">
        <w:rPr>
          <w:rFonts w:eastAsia="Calibri"/>
          <w:sz w:val="28"/>
          <w:szCs w:val="28"/>
          <w:lang w:val="pt-BR"/>
        </w:rPr>
        <w:t xml:space="preserve">Đã ban hành </w:t>
      </w:r>
      <w:r w:rsidR="00FC3D96">
        <w:rPr>
          <w:rFonts w:eastAsia="Calibri"/>
          <w:sz w:val="28"/>
          <w:szCs w:val="28"/>
          <w:lang w:val="pt-BR"/>
        </w:rPr>
        <w:t xml:space="preserve"> các văn bản sau:</w:t>
      </w:r>
    </w:p>
    <w:p w:rsidR="00FC3D96" w:rsidRPr="0034151C" w:rsidRDefault="00FC3D96" w:rsidP="00FC3D96">
      <w:pPr>
        <w:spacing w:after="120"/>
        <w:ind w:firstLine="567"/>
        <w:jc w:val="both"/>
        <w:rPr>
          <w:sz w:val="28"/>
          <w:szCs w:val="28"/>
          <w:lang w:val="it-IT"/>
        </w:rPr>
      </w:pPr>
      <w:r>
        <w:rPr>
          <w:sz w:val="28"/>
          <w:szCs w:val="28"/>
          <w:lang w:val="pt-BR"/>
        </w:rPr>
        <w:t xml:space="preserve">- </w:t>
      </w:r>
      <w:r w:rsidRPr="0034151C">
        <w:rPr>
          <w:sz w:val="28"/>
          <w:szCs w:val="28"/>
          <w:lang w:val="it-IT"/>
        </w:rPr>
        <w:t>Chỉ thị số 17/CT-TTg ngày 10/7/2015 của Thủ tướng Chính phủ về việc tăng cường</w:t>
      </w:r>
      <w:r>
        <w:rPr>
          <w:sz w:val="28"/>
          <w:szCs w:val="28"/>
          <w:lang w:val="it-IT"/>
        </w:rPr>
        <w:t>, nâng cao hiệu lự</w:t>
      </w:r>
      <w:r w:rsidRPr="0034151C">
        <w:rPr>
          <w:sz w:val="28"/>
          <w:szCs w:val="28"/>
          <w:lang w:val="it-IT"/>
        </w:rPr>
        <w:t>c và hiệu quả công tác quản lý nhà nước về an toàn bức xạ và hạt nhân.</w:t>
      </w:r>
    </w:p>
    <w:p w:rsidR="00FC3D96" w:rsidRPr="0034151C" w:rsidRDefault="00FC3D96" w:rsidP="00FC3D96">
      <w:pPr>
        <w:spacing w:after="120"/>
        <w:ind w:firstLine="567"/>
        <w:jc w:val="both"/>
        <w:rPr>
          <w:sz w:val="28"/>
          <w:szCs w:val="28"/>
          <w:lang w:val="it-IT"/>
        </w:rPr>
      </w:pPr>
      <w:r>
        <w:rPr>
          <w:sz w:val="28"/>
          <w:szCs w:val="28"/>
          <w:lang w:val="it-IT"/>
        </w:rPr>
        <w:lastRenderedPageBreak/>
        <w:t xml:space="preserve">- </w:t>
      </w:r>
      <w:r w:rsidRPr="0034151C">
        <w:rPr>
          <w:sz w:val="28"/>
          <w:szCs w:val="28"/>
          <w:lang w:val="it-IT"/>
        </w:rPr>
        <w:t xml:space="preserve">Thông tư số 13/2015/TT-BKHCN ngày 21/7/2015 của Bộ KH&amp;CN </w:t>
      </w:r>
      <w:bookmarkStart w:id="0" w:name="loai_1_name"/>
      <w:r w:rsidRPr="0034151C">
        <w:rPr>
          <w:sz w:val="28"/>
          <w:szCs w:val="28"/>
          <w:lang w:val="it-IT"/>
        </w:rPr>
        <w:t>sửa đổi, bổ sung thông tư số 23/2010/TT-BKHCN ngày 29/12/2010 của Bộ trưởng Bộ KH&amp;CN hướng dẫn bảo đảm an ninh nguồn phóng xạ</w:t>
      </w:r>
      <w:bookmarkEnd w:id="0"/>
      <w:r w:rsidRPr="0034151C">
        <w:rPr>
          <w:sz w:val="28"/>
          <w:szCs w:val="28"/>
          <w:lang w:val="it-IT"/>
        </w:rPr>
        <w:t xml:space="preserve">; </w:t>
      </w:r>
    </w:p>
    <w:p w:rsidR="00FC3D96" w:rsidRPr="0034151C" w:rsidRDefault="00FC3D96" w:rsidP="00FC3D96">
      <w:pPr>
        <w:spacing w:after="120"/>
        <w:ind w:firstLine="567"/>
        <w:jc w:val="both"/>
        <w:rPr>
          <w:sz w:val="28"/>
          <w:szCs w:val="28"/>
          <w:lang w:val="it-IT"/>
        </w:rPr>
      </w:pPr>
      <w:r>
        <w:rPr>
          <w:sz w:val="28"/>
          <w:szCs w:val="28"/>
          <w:lang w:val="it-IT"/>
        </w:rPr>
        <w:t xml:space="preserve">- </w:t>
      </w:r>
      <w:r w:rsidRPr="0034151C">
        <w:rPr>
          <w:sz w:val="28"/>
          <w:szCs w:val="28"/>
          <w:lang w:val="it-IT"/>
        </w:rPr>
        <w:t>Thông tư liên tịch số 112/2015/TTLT-BTC-BKHCN ngày 29/7/2015 của Bộ Tài chính - Bộ KH&amp;CN hướng dẫn cơ chế phối hợp và xử lý trong việc kiểm tra, phát hiện chất phóng xạ tại các cửa khẩu;</w:t>
      </w:r>
    </w:p>
    <w:p w:rsidR="00CD41EC" w:rsidRPr="0034151C" w:rsidRDefault="00FC3D96" w:rsidP="00FC3D96">
      <w:pPr>
        <w:spacing w:after="120"/>
        <w:ind w:firstLine="567"/>
        <w:jc w:val="both"/>
        <w:rPr>
          <w:sz w:val="28"/>
          <w:szCs w:val="28"/>
          <w:lang w:val="it-IT"/>
        </w:rPr>
      </w:pPr>
      <w:r>
        <w:rPr>
          <w:rFonts w:eastAsia="Calibri"/>
          <w:sz w:val="28"/>
          <w:szCs w:val="28"/>
          <w:lang w:val="it-IT"/>
        </w:rPr>
        <w:t xml:space="preserve">- </w:t>
      </w:r>
      <w:r w:rsidR="00CD41EC" w:rsidRPr="0034151C">
        <w:rPr>
          <w:sz w:val="28"/>
          <w:szCs w:val="28"/>
          <w:lang w:val="pt-BR"/>
        </w:rPr>
        <w:t xml:space="preserve">Thông tư số </w:t>
      </w:r>
      <w:r w:rsidR="00CD41EC" w:rsidRPr="0034151C">
        <w:rPr>
          <w:sz w:val="28"/>
          <w:szCs w:val="28"/>
          <w:lang w:val="it-IT"/>
        </w:rPr>
        <w:t>12/2015/TT-BKHCN ngày 20/7/2015 của quy định về phân tích an toàn đối với nhà máy điện hạt nhân.</w:t>
      </w:r>
    </w:p>
    <w:p w:rsidR="00CD41EC" w:rsidRPr="0034151C" w:rsidRDefault="00CD41EC" w:rsidP="00CD41EC">
      <w:pPr>
        <w:spacing w:after="120"/>
        <w:ind w:firstLine="567"/>
        <w:jc w:val="both"/>
        <w:rPr>
          <w:sz w:val="28"/>
          <w:szCs w:val="28"/>
          <w:lang w:val="it-IT"/>
        </w:rPr>
      </w:pPr>
      <w:r w:rsidRPr="0034151C">
        <w:rPr>
          <w:sz w:val="28"/>
          <w:szCs w:val="28"/>
          <w:lang w:val="it-IT"/>
        </w:rPr>
        <w:t>b) Đang hoàn thiện Hồ sơ, trình ban hà</w:t>
      </w:r>
      <w:r w:rsidR="00FC3D96">
        <w:rPr>
          <w:sz w:val="28"/>
          <w:szCs w:val="28"/>
          <w:lang w:val="it-IT"/>
        </w:rPr>
        <w:t>nh các văn bản sau</w:t>
      </w:r>
      <w:r w:rsidRPr="0034151C">
        <w:rPr>
          <w:sz w:val="28"/>
          <w:szCs w:val="28"/>
          <w:lang w:val="it-IT"/>
        </w:rPr>
        <w:t>:</w:t>
      </w:r>
    </w:p>
    <w:p w:rsidR="00CD41EC" w:rsidRPr="0034151C" w:rsidRDefault="00CD41EC" w:rsidP="00CD41EC">
      <w:pPr>
        <w:spacing w:after="120"/>
        <w:ind w:firstLine="567"/>
        <w:jc w:val="both"/>
        <w:rPr>
          <w:rFonts w:eastAsia="Calibri"/>
          <w:sz w:val="28"/>
          <w:lang w:val="it-IT"/>
        </w:rPr>
      </w:pPr>
      <w:r w:rsidRPr="0034151C">
        <w:rPr>
          <w:sz w:val="28"/>
          <w:szCs w:val="28"/>
          <w:lang w:val="it-IT"/>
        </w:rPr>
        <w:t xml:space="preserve">- </w:t>
      </w:r>
      <w:r w:rsidRPr="0034151C">
        <w:rPr>
          <w:rFonts w:eastAsia="Calibri"/>
          <w:sz w:val="28"/>
          <w:lang w:val="it-IT"/>
        </w:rPr>
        <w:t>Quyết định của Thủ tướng Chính phủ Phê duyệt Kế hoạch ứng phó sự cố cấp quốc gia</w:t>
      </w:r>
      <w:r w:rsidR="00FF40CF">
        <w:rPr>
          <w:rFonts w:eastAsia="Calibri"/>
          <w:sz w:val="28"/>
          <w:lang w:val="it-IT"/>
        </w:rPr>
        <w:t xml:space="preserve"> (đang tiếp thu ý kiến các Bộ, ngành để trình Thủ tướng)</w:t>
      </w:r>
      <w:r w:rsidRPr="0034151C">
        <w:rPr>
          <w:rFonts w:eastAsia="Calibri"/>
          <w:sz w:val="28"/>
          <w:lang w:val="it-IT"/>
        </w:rPr>
        <w:t xml:space="preserve">; </w:t>
      </w:r>
    </w:p>
    <w:p w:rsidR="00CD41EC" w:rsidRPr="0034151C" w:rsidRDefault="00CD41EC" w:rsidP="00CD41EC">
      <w:pPr>
        <w:spacing w:after="120"/>
        <w:ind w:firstLine="567"/>
        <w:jc w:val="both"/>
        <w:rPr>
          <w:rFonts w:eastAsia="Calibri"/>
          <w:sz w:val="28"/>
          <w:lang w:val="nl-NL"/>
        </w:rPr>
      </w:pPr>
      <w:r w:rsidRPr="0034151C">
        <w:rPr>
          <w:rFonts w:eastAsia="Calibri"/>
          <w:sz w:val="28"/>
          <w:lang w:val="it-IT"/>
        </w:rPr>
        <w:t xml:space="preserve">- </w:t>
      </w:r>
      <w:r w:rsidRPr="0034151C">
        <w:rPr>
          <w:rFonts w:eastAsia="Calibri"/>
          <w:sz w:val="28"/>
          <w:lang w:val="nl-NL"/>
        </w:rPr>
        <w:t>Quyết định của Thủ tướng Chính phủ Phê duyệt Đề án “Tăng cường năng lực, đầu tư cơ sở vật chất, kỹ thuật cho cơ quan quản lý nhà nước về phát triển năng lượng nguyên tử và an toàn bức xạ, hạt nhân”</w:t>
      </w:r>
      <w:r w:rsidR="00FF40CF">
        <w:rPr>
          <w:rFonts w:eastAsia="Calibri"/>
          <w:sz w:val="28"/>
          <w:lang w:val="nl-NL"/>
        </w:rPr>
        <w:t>(</w:t>
      </w:r>
      <w:r w:rsidR="00FF40CF" w:rsidRPr="00FF40CF">
        <w:rPr>
          <w:rFonts w:eastAsia="Calibri"/>
          <w:sz w:val="28"/>
          <w:lang w:val="it-IT"/>
        </w:rPr>
        <w:t xml:space="preserve"> </w:t>
      </w:r>
      <w:r w:rsidR="00FF40CF">
        <w:rPr>
          <w:rFonts w:eastAsia="Calibri"/>
          <w:sz w:val="28"/>
          <w:lang w:val="it-IT"/>
        </w:rPr>
        <w:t>đang tiếp thu ý kiến các Bộ, ngành để trình Thủ tướng)</w:t>
      </w:r>
      <w:r w:rsidRPr="0034151C">
        <w:rPr>
          <w:rFonts w:eastAsia="Calibri"/>
          <w:sz w:val="28"/>
          <w:lang w:val="nl-NL"/>
        </w:rPr>
        <w:t xml:space="preserve">; </w:t>
      </w:r>
    </w:p>
    <w:p w:rsidR="00CD41EC" w:rsidRPr="0034151C" w:rsidRDefault="00CD41EC" w:rsidP="00CD41EC">
      <w:pPr>
        <w:spacing w:after="120"/>
        <w:ind w:firstLine="567"/>
        <w:jc w:val="both"/>
        <w:rPr>
          <w:rFonts w:eastAsia="Calibri"/>
          <w:sz w:val="28"/>
          <w:szCs w:val="28"/>
          <w:lang w:val="it-IT"/>
        </w:rPr>
      </w:pPr>
      <w:r w:rsidRPr="0034151C">
        <w:rPr>
          <w:rFonts w:eastAsia="Calibri"/>
          <w:sz w:val="28"/>
          <w:lang w:val="nl-NL"/>
        </w:rPr>
        <w:t xml:space="preserve">- </w:t>
      </w:r>
      <w:r w:rsidRPr="0034151C">
        <w:rPr>
          <w:rFonts w:eastAsia="Calibri"/>
          <w:sz w:val="28"/>
          <w:szCs w:val="28"/>
          <w:lang w:val="it-IT"/>
        </w:rPr>
        <w:t>Thông tư của Bộ trưởng Bộ KH&amp;CN quy định nội dung Báo cáo phân tích an toàn trong hồ sơ cấp phép xây dựng nhà máy điện hạt nhân</w:t>
      </w:r>
      <w:r w:rsidR="00FF40CF">
        <w:rPr>
          <w:rFonts w:eastAsia="Calibri"/>
          <w:sz w:val="28"/>
          <w:szCs w:val="28"/>
          <w:lang w:val="it-IT"/>
        </w:rPr>
        <w:t xml:space="preserve"> (đang xử lý các ý kiến trước khi trình Bộ trưởng ký ban hành)</w:t>
      </w:r>
      <w:r w:rsidRPr="0034151C">
        <w:rPr>
          <w:rFonts w:eastAsia="Calibri"/>
          <w:sz w:val="28"/>
          <w:szCs w:val="28"/>
          <w:lang w:val="it-IT"/>
        </w:rPr>
        <w:t xml:space="preserve">; </w:t>
      </w:r>
    </w:p>
    <w:p w:rsidR="00CD41EC" w:rsidRPr="0034151C" w:rsidRDefault="00CD41EC" w:rsidP="00CD41EC">
      <w:pPr>
        <w:spacing w:after="120"/>
        <w:ind w:firstLine="567"/>
        <w:jc w:val="both"/>
        <w:rPr>
          <w:rFonts w:eastAsia="Calibri"/>
          <w:sz w:val="28"/>
          <w:lang w:val="nl-NL"/>
        </w:rPr>
      </w:pPr>
      <w:r w:rsidRPr="0034151C">
        <w:rPr>
          <w:rFonts w:eastAsia="Calibri"/>
          <w:sz w:val="28"/>
          <w:szCs w:val="28"/>
          <w:lang w:val="it-IT"/>
        </w:rPr>
        <w:t xml:space="preserve">- </w:t>
      </w:r>
      <w:r w:rsidRPr="0034151C">
        <w:rPr>
          <w:rFonts w:eastAsia="Calibri"/>
          <w:sz w:val="28"/>
          <w:lang w:val="nl-NL"/>
        </w:rPr>
        <w:t>Thông tư của Bộ trưởng Bộ KH&amp;CN hướng dẫn đăng ký hoạt động dịch vụ hỗ trợ ứng dụng năng lượng nguyên tử</w:t>
      </w:r>
      <w:r w:rsidR="00FF40CF">
        <w:rPr>
          <w:rFonts w:eastAsia="Calibri"/>
          <w:sz w:val="28"/>
          <w:lang w:val="nl-NL"/>
        </w:rPr>
        <w:t xml:space="preserve"> (Đã trình Bộ trưởng ký ban hành)</w:t>
      </w:r>
      <w:r w:rsidRPr="0034151C">
        <w:rPr>
          <w:rFonts w:eastAsia="Calibri"/>
          <w:sz w:val="28"/>
          <w:lang w:val="nl-NL"/>
        </w:rPr>
        <w:t xml:space="preserve">; </w:t>
      </w:r>
    </w:p>
    <w:p w:rsidR="00CD41EC" w:rsidRPr="0034151C" w:rsidRDefault="00CD41EC" w:rsidP="00CD41EC">
      <w:pPr>
        <w:spacing w:after="120"/>
        <w:ind w:firstLine="567"/>
        <w:jc w:val="both"/>
        <w:rPr>
          <w:sz w:val="28"/>
          <w:lang w:val="nl-NL"/>
        </w:rPr>
      </w:pPr>
      <w:r w:rsidRPr="0034151C">
        <w:rPr>
          <w:rFonts w:eastAsia="Calibri"/>
          <w:sz w:val="28"/>
          <w:lang w:val="nl-NL"/>
        </w:rPr>
        <w:t xml:space="preserve">- </w:t>
      </w:r>
      <w:r w:rsidRPr="0034151C">
        <w:rPr>
          <w:sz w:val="28"/>
          <w:lang w:val="nl-NL"/>
        </w:rPr>
        <w:t>Thông tư của Bộ trưởng Bộ KH&amp;CN quy định nội dung báo cáo đánh giá an toàn trong hoạt động khai thác và chế biến quặng phóng xạ</w:t>
      </w:r>
      <w:r w:rsidR="00FF40CF">
        <w:rPr>
          <w:rFonts w:eastAsia="Calibri"/>
          <w:sz w:val="28"/>
          <w:lang w:val="nl-NL"/>
        </w:rPr>
        <w:t>(Đã trình Bộ trưởng ký ban hành)</w:t>
      </w:r>
      <w:r w:rsidR="00FF40CF" w:rsidRPr="0034151C">
        <w:rPr>
          <w:rFonts w:eastAsia="Calibri"/>
          <w:sz w:val="28"/>
          <w:lang w:val="nl-NL"/>
        </w:rPr>
        <w:t>;</w:t>
      </w:r>
    </w:p>
    <w:p w:rsidR="00CB1455" w:rsidRPr="0034151C" w:rsidRDefault="00CD41EC" w:rsidP="00CD41EC">
      <w:pPr>
        <w:spacing w:after="120"/>
        <w:ind w:firstLine="567"/>
        <w:jc w:val="both"/>
        <w:rPr>
          <w:rFonts w:eastAsia="Calibri"/>
          <w:sz w:val="28"/>
          <w:lang w:val="nl-NL"/>
        </w:rPr>
      </w:pPr>
      <w:r w:rsidRPr="0034151C">
        <w:rPr>
          <w:sz w:val="28"/>
          <w:lang w:val="nl-NL"/>
        </w:rPr>
        <w:t xml:space="preserve">- </w:t>
      </w:r>
      <w:r w:rsidRPr="0034151C">
        <w:rPr>
          <w:rFonts w:eastAsia="Calibri"/>
          <w:sz w:val="28"/>
          <w:lang w:val="nl-NL"/>
        </w:rPr>
        <w:t>Thông tư của Bộ trưởng Bộ KH&amp;CN ban hành Quy chuẩn kỹ thuật an toàn bức xạ đối với thiết bị chiếu, chụp X-quang tổng hợp dùng trong y tế và Quy chuẩn kỹ thuật an toàn bức xạ đối với thiết bị X-quang chụp cắt lớp vi tính CT Scanner</w:t>
      </w:r>
      <w:r w:rsidR="00FF40CF">
        <w:rPr>
          <w:rFonts w:eastAsia="Calibri"/>
          <w:sz w:val="28"/>
          <w:lang w:val="nl-NL"/>
        </w:rPr>
        <w:t xml:space="preserve"> (Đã trình Bộ trưởng ký ban hành)</w:t>
      </w:r>
      <w:r w:rsidRPr="0034151C">
        <w:rPr>
          <w:rFonts w:eastAsia="Calibri"/>
          <w:sz w:val="28"/>
          <w:lang w:val="nl-NL"/>
        </w:rPr>
        <w:t>.</w:t>
      </w:r>
    </w:p>
    <w:p w:rsidR="00CD41EC" w:rsidRPr="0034151C" w:rsidRDefault="00FC3D96" w:rsidP="00CD41EC">
      <w:pPr>
        <w:spacing w:after="120"/>
        <w:ind w:firstLine="567"/>
        <w:jc w:val="both"/>
        <w:rPr>
          <w:sz w:val="28"/>
          <w:szCs w:val="28"/>
          <w:lang w:val="it-IT"/>
        </w:rPr>
      </w:pPr>
      <w:r>
        <w:rPr>
          <w:sz w:val="28"/>
          <w:szCs w:val="28"/>
          <w:lang w:val="it-IT"/>
        </w:rPr>
        <w:t xml:space="preserve">- </w:t>
      </w:r>
      <w:r w:rsidR="00CD41EC" w:rsidRPr="0034151C">
        <w:rPr>
          <w:sz w:val="28"/>
          <w:szCs w:val="28"/>
          <w:lang w:val="it-IT"/>
        </w:rPr>
        <w:t>Quyết định của Thủ tướng Chính phủ phê duyệt kế hoạch chuẩn bị phương tiện, lực lượng ứng phó sự cố điện hạt nhân đến năm 2020 (do Ủy ban Quốc gia Tìm kiếm Cứu nạn chủ trì);</w:t>
      </w:r>
    </w:p>
    <w:p w:rsidR="00CD41EC" w:rsidRPr="0034151C" w:rsidRDefault="00FC3D96" w:rsidP="00CD41EC">
      <w:pPr>
        <w:spacing w:after="120"/>
        <w:ind w:firstLine="567"/>
        <w:jc w:val="both"/>
        <w:rPr>
          <w:sz w:val="28"/>
          <w:szCs w:val="28"/>
          <w:lang w:val="it-IT"/>
        </w:rPr>
      </w:pPr>
      <w:r>
        <w:rPr>
          <w:sz w:val="28"/>
          <w:szCs w:val="28"/>
          <w:lang w:val="it-IT"/>
        </w:rPr>
        <w:t xml:space="preserve">- </w:t>
      </w:r>
      <w:r w:rsidR="00CD41EC" w:rsidRPr="0034151C">
        <w:rPr>
          <w:sz w:val="28"/>
          <w:szCs w:val="28"/>
          <w:lang w:val="it-IT"/>
        </w:rPr>
        <w:t>Thông tư liên tịch Bộ Y tế - Bộ KH&amp;CN hướng dẫn các hoạt động liên quan đến thuốc phóng xạ, chất đánh dấu và đồng vị phóng xạ sử dụng trong y tế (do Bộ Y tế chủ trì).</w:t>
      </w:r>
    </w:p>
    <w:p w:rsidR="00CB1455" w:rsidRPr="0034151C" w:rsidRDefault="00371BED" w:rsidP="00727305">
      <w:pPr>
        <w:tabs>
          <w:tab w:val="num" w:pos="1134"/>
          <w:tab w:val="right" w:pos="9639"/>
        </w:tabs>
        <w:spacing w:after="120"/>
        <w:ind w:firstLine="567"/>
        <w:jc w:val="both"/>
        <w:rPr>
          <w:color w:val="0000FF"/>
          <w:sz w:val="28"/>
          <w:szCs w:val="28"/>
          <w:lang w:val="de-DE"/>
        </w:rPr>
      </w:pPr>
      <w:r>
        <w:rPr>
          <w:b/>
          <w:color w:val="0000FF"/>
          <w:sz w:val="28"/>
          <w:szCs w:val="28"/>
          <w:lang w:val="it-IT"/>
        </w:rPr>
        <w:t>1</w:t>
      </w:r>
      <w:r w:rsidR="00495256" w:rsidRPr="0034151C">
        <w:rPr>
          <w:b/>
          <w:color w:val="0000FF"/>
          <w:sz w:val="28"/>
          <w:szCs w:val="28"/>
          <w:lang w:val="it-IT"/>
        </w:rPr>
        <w:t>.</w:t>
      </w:r>
      <w:r w:rsidR="00953860" w:rsidRPr="0034151C">
        <w:rPr>
          <w:b/>
          <w:color w:val="0000FF"/>
          <w:sz w:val="28"/>
          <w:szCs w:val="28"/>
          <w:lang w:val="it-IT"/>
        </w:rPr>
        <w:t>4.</w:t>
      </w:r>
      <w:r w:rsidR="00CB1455" w:rsidRPr="0034151C">
        <w:rPr>
          <w:color w:val="0000FF"/>
          <w:sz w:val="28"/>
          <w:szCs w:val="28"/>
          <w:lang w:val="it-IT"/>
        </w:rPr>
        <w:t xml:space="preserve"> </w:t>
      </w:r>
      <w:r w:rsidR="00727305" w:rsidRPr="0034151C">
        <w:rPr>
          <w:b/>
          <w:color w:val="0000FF"/>
          <w:sz w:val="28"/>
          <w:szCs w:val="28"/>
          <w:lang w:val="de-DE"/>
        </w:rPr>
        <w:t>Xây dựng</w:t>
      </w:r>
      <w:r w:rsidR="00CB1455" w:rsidRPr="0034151C">
        <w:rPr>
          <w:b/>
          <w:color w:val="0000FF"/>
          <w:sz w:val="28"/>
          <w:szCs w:val="28"/>
          <w:lang w:val="de-DE"/>
        </w:rPr>
        <w:t xml:space="preserve"> tiêu chuẩn</w:t>
      </w:r>
      <w:r w:rsidR="00727305" w:rsidRPr="0034151C">
        <w:rPr>
          <w:b/>
          <w:color w:val="0000FF"/>
          <w:sz w:val="28"/>
          <w:szCs w:val="28"/>
          <w:lang w:val="de-DE"/>
        </w:rPr>
        <w:t xml:space="preserve"> về an toàn hạt nhân</w:t>
      </w:r>
    </w:p>
    <w:p w:rsidR="007C3878" w:rsidRPr="0034151C" w:rsidRDefault="00727305" w:rsidP="00727305">
      <w:pPr>
        <w:tabs>
          <w:tab w:val="num" w:pos="1134"/>
          <w:tab w:val="right" w:pos="9639"/>
        </w:tabs>
        <w:spacing w:after="120"/>
        <w:ind w:firstLine="567"/>
        <w:jc w:val="both"/>
        <w:rPr>
          <w:sz w:val="28"/>
          <w:szCs w:val="28"/>
          <w:lang w:val="de-DE"/>
        </w:rPr>
      </w:pPr>
      <w:r w:rsidRPr="0034151C">
        <w:rPr>
          <w:sz w:val="28"/>
          <w:szCs w:val="28"/>
          <w:lang w:val="de-DE"/>
        </w:rPr>
        <w:t>Trong các năm 2014 và 2015, Cục ATBXHN phối hợp với Tổng Cục Tiêu chuẩn Đo lường Chất lượng xây dựng 11 tiêu chuẩn Việt Nam (tiêu chuẩn về an toàn hạt nhân đối với thiết kế nhà máy điện hạt nhân).</w:t>
      </w:r>
      <w:r w:rsidR="007C3878" w:rsidRPr="0034151C">
        <w:rPr>
          <w:sz w:val="28"/>
          <w:szCs w:val="28"/>
          <w:lang w:val="de-DE"/>
        </w:rPr>
        <w:t xml:space="preserve"> Viện Tiêu chuẩn Chất lượng Việt Nam đã tổ chức các cuộc họp của Tiểu ban kỹ thuật tiêu chuẩn quốc gia TCVN/TC 85/SC 1 “An toàn hạt nhân” để góp ý, hoàn thiện các dự thảo tiêu chuẩn.</w:t>
      </w:r>
    </w:p>
    <w:p w:rsidR="00CB1455" w:rsidRPr="0034151C" w:rsidRDefault="00371BED" w:rsidP="00727305">
      <w:pPr>
        <w:spacing w:after="120"/>
        <w:ind w:firstLine="567"/>
        <w:jc w:val="both"/>
        <w:rPr>
          <w:b/>
          <w:color w:val="0000CC"/>
          <w:sz w:val="28"/>
          <w:szCs w:val="28"/>
          <w:lang w:val="de-DE"/>
        </w:rPr>
      </w:pPr>
      <w:r>
        <w:rPr>
          <w:b/>
          <w:color w:val="0000CC"/>
          <w:sz w:val="28"/>
          <w:szCs w:val="28"/>
          <w:lang w:val="de-DE"/>
        </w:rPr>
        <w:t>1</w:t>
      </w:r>
      <w:r w:rsidR="00495256" w:rsidRPr="0034151C">
        <w:rPr>
          <w:b/>
          <w:color w:val="0000CC"/>
          <w:sz w:val="28"/>
          <w:szCs w:val="28"/>
          <w:lang w:val="de-DE"/>
        </w:rPr>
        <w:t>.</w:t>
      </w:r>
      <w:r w:rsidR="00953860" w:rsidRPr="0034151C">
        <w:rPr>
          <w:b/>
          <w:color w:val="0000CC"/>
          <w:sz w:val="28"/>
          <w:szCs w:val="28"/>
          <w:lang w:val="de-DE"/>
        </w:rPr>
        <w:t>5.</w:t>
      </w:r>
      <w:r w:rsidR="00CB1455" w:rsidRPr="0034151C">
        <w:rPr>
          <w:b/>
          <w:color w:val="0000CC"/>
          <w:sz w:val="28"/>
          <w:szCs w:val="28"/>
          <w:lang w:val="de-DE"/>
        </w:rPr>
        <w:t xml:space="preserve"> Tham gia họp góp ý cho dự thảo do các Bộ, ngành và các đơn vị trong Bộ KHCN soạn thảo.</w:t>
      </w:r>
    </w:p>
    <w:p w:rsidR="00EF5A85" w:rsidRPr="0034151C" w:rsidRDefault="00CD41EC" w:rsidP="00CD41EC">
      <w:pPr>
        <w:spacing w:after="120"/>
        <w:ind w:firstLine="567"/>
        <w:jc w:val="both"/>
        <w:rPr>
          <w:b/>
          <w:color w:val="FF0000"/>
          <w:sz w:val="28"/>
          <w:szCs w:val="28"/>
          <w:lang w:val="de-DE"/>
        </w:rPr>
      </w:pPr>
      <w:r w:rsidRPr="0034151C">
        <w:rPr>
          <w:sz w:val="28"/>
          <w:szCs w:val="28"/>
          <w:lang w:val="pt-BR"/>
        </w:rPr>
        <w:lastRenderedPageBreak/>
        <w:t>Cục đã tổ chức nghiên cứu, tham gia đóng góp ý kiến cho các dự thảo văn bản QPPL do các Bộ và các đơn vị trong Bộ soạn thảo. Đáng chú ý có dự thảo Bộ luật hình sự (sửa đổi), Bộ Luật dân sự (sửa đổi), Luật tố tụng hành chính (sửa đổi), Luật phí, lệ phí, Luật dược,... các dự thảo văn bản QPPL về giám định tư pháp, về cơ chế tự chủ của tổ chức khoa học và công nghệ công lập, dịch vụ sự nghiệp công,...</w:t>
      </w:r>
    </w:p>
    <w:p w:rsidR="00AA34E7" w:rsidRPr="0034151C" w:rsidRDefault="00371BED" w:rsidP="00727305">
      <w:pPr>
        <w:spacing w:after="120"/>
        <w:ind w:firstLine="567"/>
        <w:jc w:val="both"/>
        <w:rPr>
          <w:b/>
          <w:color w:val="0000FF"/>
          <w:sz w:val="28"/>
          <w:szCs w:val="28"/>
          <w:lang w:val="de-DE"/>
        </w:rPr>
      </w:pPr>
      <w:r>
        <w:rPr>
          <w:b/>
          <w:color w:val="0000FF"/>
          <w:sz w:val="28"/>
          <w:szCs w:val="28"/>
          <w:lang w:val="de-DE"/>
        </w:rPr>
        <w:t>2</w:t>
      </w:r>
      <w:r w:rsidR="00AA34E7" w:rsidRPr="0034151C">
        <w:rPr>
          <w:b/>
          <w:color w:val="0000FF"/>
          <w:sz w:val="28"/>
          <w:szCs w:val="28"/>
          <w:lang w:val="de-DE"/>
        </w:rPr>
        <w:t xml:space="preserve">. Hoạt động </w:t>
      </w:r>
      <w:r w:rsidR="00AF1D30" w:rsidRPr="0034151C">
        <w:rPr>
          <w:b/>
          <w:color w:val="0000FF"/>
          <w:sz w:val="28"/>
          <w:szCs w:val="28"/>
          <w:lang w:val="de-DE"/>
        </w:rPr>
        <w:t>thường xuyên theo chức năng</w:t>
      </w:r>
    </w:p>
    <w:p w:rsidR="00FC3D96" w:rsidRPr="0034151C" w:rsidRDefault="00FC3D96" w:rsidP="00FC3D96">
      <w:pPr>
        <w:spacing w:after="120"/>
        <w:ind w:firstLine="567"/>
        <w:jc w:val="both"/>
        <w:rPr>
          <w:b/>
          <w:color w:val="0000FF"/>
          <w:sz w:val="28"/>
          <w:szCs w:val="28"/>
          <w:lang w:val="de-DE"/>
        </w:rPr>
      </w:pPr>
      <w:r>
        <w:rPr>
          <w:b/>
          <w:color w:val="0000FF"/>
          <w:sz w:val="28"/>
          <w:szCs w:val="28"/>
          <w:lang w:val="nl-NL"/>
        </w:rPr>
        <w:t>2</w:t>
      </w:r>
      <w:r w:rsidRPr="0034151C">
        <w:rPr>
          <w:b/>
          <w:color w:val="0000FF"/>
          <w:sz w:val="28"/>
          <w:szCs w:val="28"/>
          <w:lang w:val="nl-NL"/>
        </w:rPr>
        <w:t>.</w:t>
      </w:r>
      <w:r>
        <w:rPr>
          <w:b/>
          <w:color w:val="0000FF"/>
          <w:sz w:val="28"/>
          <w:szCs w:val="28"/>
          <w:lang w:val="nl-NL"/>
        </w:rPr>
        <w:t>1</w:t>
      </w:r>
      <w:r w:rsidRPr="0034151C">
        <w:rPr>
          <w:b/>
          <w:color w:val="0000FF"/>
          <w:sz w:val="28"/>
          <w:szCs w:val="28"/>
          <w:lang w:val="nl-NL"/>
        </w:rPr>
        <w:t xml:space="preserve">. </w:t>
      </w:r>
      <w:r w:rsidRPr="0034151C">
        <w:rPr>
          <w:b/>
          <w:color w:val="0000FF"/>
          <w:sz w:val="28"/>
          <w:szCs w:val="28"/>
          <w:lang w:val="de-DE"/>
        </w:rPr>
        <w:t>Công tác cấp phép</w:t>
      </w:r>
    </w:p>
    <w:p w:rsidR="00FC3D96" w:rsidRPr="0034151C" w:rsidRDefault="00FC3D96" w:rsidP="00FC3D96">
      <w:pPr>
        <w:tabs>
          <w:tab w:val="left" w:pos="284"/>
        </w:tabs>
        <w:spacing w:after="120"/>
        <w:ind w:firstLine="567"/>
        <w:jc w:val="both"/>
        <w:rPr>
          <w:sz w:val="28"/>
          <w:szCs w:val="28"/>
          <w:lang w:val="de-DE"/>
        </w:rPr>
      </w:pPr>
      <w:r w:rsidRPr="0034151C">
        <w:rPr>
          <w:sz w:val="28"/>
          <w:szCs w:val="28"/>
          <w:lang w:val="de-DE"/>
        </w:rPr>
        <w:t>(i). Tổ chức thẩm định, cấp, gia hạn, sửa đổi bổ sung các loại giấy phép tiến hành công việc bức xạ, chứng chỉ nhân viên bức xạ (CCNVBX) theo phân cấp của Bộ Khoa học và Công nghệ (KH&amp;CN)</w:t>
      </w:r>
    </w:p>
    <w:p w:rsidR="00FC3D96" w:rsidRPr="0034151C" w:rsidRDefault="00FC69A8" w:rsidP="00FC3D96">
      <w:pPr>
        <w:spacing w:after="120"/>
        <w:ind w:firstLine="567"/>
        <w:jc w:val="both"/>
        <w:rPr>
          <w:sz w:val="28"/>
          <w:szCs w:val="28"/>
          <w:lang w:val="de-DE"/>
        </w:rPr>
      </w:pPr>
      <w:r>
        <w:rPr>
          <w:sz w:val="28"/>
          <w:szCs w:val="28"/>
          <w:lang w:val="de-DE"/>
        </w:rPr>
        <w:t>T</w:t>
      </w:r>
      <w:r w:rsidR="00FC3D96" w:rsidRPr="0034151C">
        <w:rPr>
          <w:sz w:val="28"/>
          <w:szCs w:val="28"/>
          <w:lang w:val="de-DE"/>
        </w:rPr>
        <w:t xml:space="preserve">ính đến ngày 1/12/2015 Cục ATBXHN đã thẩm định, cấp  hoặc trình Bộ trưởng Bộ KH&amp;CN ban hành: </w:t>
      </w:r>
      <w:r w:rsidR="00FC3D96" w:rsidRPr="00FC3D96">
        <w:rPr>
          <w:sz w:val="28"/>
          <w:szCs w:val="28"/>
          <w:lang w:val="de-DE"/>
        </w:rPr>
        <w:t xml:space="preserve">706 </w:t>
      </w:r>
      <w:r w:rsidR="00FC3D96" w:rsidRPr="0034151C">
        <w:rPr>
          <w:sz w:val="28"/>
          <w:szCs w:val="28"/>
          <w:lang w:val="de-DE"/>
        </w:rPr>
        <w:t xml:space="preserve"> giấy phép các loại (vượt 15% so với số giấy phép đã cấp trong năm 2014) và 450 chứng chỉ nhân viên bức xạ. </w:t>
      </w:r>
      <w:r w:rsidR="00FC3D96" w:rsidRPr="00FC3D96">
        <w:rPr>
          <w:sz w:val="28"/>
          <w:szCs w:val="28"/>
          <w:lang w:val="de-DE"/>
        </w:rPr>
        <w:t>Duy trì phí và lệ phí cấp phép thu được phục vụ cho hoạt động của Cục, tính đến 30/11/2015 tổng thu đạt 5,55 tỷ (4,8 tỷ -2014) đồng</w:t>
      </w:r>
    </w:p>
    <w:p w:rsidR="00FC3D96" w:rsidRPr="0034151C" w:rsidRDefault="00FC3D96" w:rsidP="00FC3D96">
      <w:pPr>
        <w:tabs>
          <w:tab w:val="left" w:pos="284"/>
        </w:tabs>
        <w:spacing w:after="120"/>
        <w:ind w:firstLine="567"/>
        <w:jc w:val="both"/>
        <w:rPr>
          <w:sz w:val="28"/>
          <w:szCs w:val="28"/>
          <w:lang w:val="de-DE"/>
        </w:rPr>
      </w:pPr>
      <w:r w:rsidRPr="0034151C">
        <w:rPr>
          <w:sz w:val="28"/>
          <w:szCs w:val="28"/>
          <w:lang w:val="de-DE"/>
        </w:rPr>
        <w:t>(ii). Tổ chức thẩm định và phê duyệt kế hoạch ứng phó sự cố cấp cơ sở; Tổ chức thẩm định kế hoạch ứng phó sự cố cấp tỉnh để trình Bộ trưởng phê duyệt;</w:t>
      </w:r>
    </w:p>
    <w:p w:rsidR="00FC3D96" w:rsidRPr="0034151C" w:rsidRDefault="00FC3D96" w:rsidP="00FC3D96">
      <w:pPr>
        <w:spacing w:after="120"/>
        <w:ind w:firstLine="567"/>
        <w:jc w:val="both"/>
        <w:rPr>
          <w:sz w:val="28"/>
          <w:szCs w:val="28"/>
          <w:lang w:val="de-DE"/>
        </w:rPr>
      </w:pPr>
      <w:r w:rsidRPr="0034151C">
        <w:rPr>
          <w:sz w:val="28"/>
          <w:szCs w:val="28"/>
          <w:lang w:val="de-DE"/>
        </w:rPr>
        <w:t xml:space="preserve">Cục ATBXHN đã hướng dẫn, thẩm định và phê duyệt đối với 176 kế hoạch ứng phó sự cố bức xạ cấp cơ sở; hướng dẫn, tổ chức thẩm định và trình Bộ trưởng phê duyệt đối với </w:t>
      </w:r>
      <w:r w:rsidRPr="0034151C">
        <w:rPr>
          <w:color w:val="FF0000"/>
          <w:sz w:val="28"/>
          <w:szCs w:val="28"/>
          <w:lang w:val="de-DE"/>
        </w:rPr>
        <w:t>7/13</w:t>
      </w:r>
      <w:r w:rsidRPr="0034151C">
        <w:rPr>
          <w:sz w:val="28"/>
          <w:szCs w:val="28"/>
          <w:lang w:val="de-DE"/>
        </w:rPr>
        <w:t xml:space="preserve"> kế hoạch ứng phó sự cố cấp tỉnh, thành phố trực thuộc trung ương. </w:t>
      </w:r>
    </w:p>
    <w:p w:rsidR="00FC3D96" w:rsidRPr="0034151C" w:rsidRDefault="00FC3D96" w:rsidP="00FC3D96">
      <w:pPr>
        <w:tabs>
          <w:tab w:val="left" w:pos="284"/>
        </w:tabs>
        <w:spacing w:after="120"/>
        <w:ind w:firstLine="567"/>
        <w:jc w:val="both"/>
        <w:rPr>
          <w:sz w:val="28"/>
          <w:szCs w:val="28"/>
          <w:lang w:val="de-DE"/>
        </w:rPr>
      </w:pPr>
      <w:r w:rsidRPr="0034151C">
        <w:rPr>
          <w:sz w:val="28"/>
          <w:szCs w:val="28"/>
          <w:lang w:val="de-DE"/>
        </w:rPr>
        <w:t>(iii). Tổ chức thẩm định, trình lãnh đạo Cục ban hành Giấy đăng ký hoạt động dịch vụ hỗ trợ ứng dụng năng lượng nguyên tử và chứng chỉ hành nghề dịch vụ hỗ trợ ứng dụng năng lượng nguyên tử</w:t>
      </w:r>
    </w:p>
    <w:p w:rsidR="00FC3D96" w:rsidRPr="0034151C" w:rsidRDefault="00FC3D96" w:rsidP="00FC3D96">
      <w:pPr>
        <w:spacing w:after="120"/>
        <w:ind w:firstLine="567"/>
        <w:jc w:val="both"/>
        <w:rPr>
          <w:sz w:val="28"/>
          <w:szCs w:val="28"/>
          <w:lang w:val="de-DE"/>
        </w:rPr>
      </w:pPr>
      <w:r w:rsidRPr="0034151C">
        <w:rPr>
          <w:sz w:val="28"/>
          <w:szCs w:val="28"/>
          <w:lang w:val="de-DE"/>
        </w:rPr>
        <w:t>Cục ATBXHN đã thực hiện thẩm định và cấp 31 giấy đăng ký hoạt động dịch vụ hỗ trợ ứng dụng năng lượng nguyên tử và 67 chứng chỉ hành nghề dịch vụ.</w:t>
      </w:r>
    </w:p>
    <w:p w:rsidR="00FC3D96" w:rsidRPr="0034151C" w:rsidRDefault="00FC3D96" w:rsidP="00FC3D96">
      <w:pPr>
        <w:tabs>
          <w:tab w:val="left" w:pos="284"/>
        </w:tabs>
        <w:spacing w:after="120"/>
        <w:ind w:firstLine="567"/>
        <w:jc w:val="both"/>
        <w:rPr>
          <w:sz w:val="28"/>
          <w:szCs w:val="28"/>
          <w:lang w:val="de-DE"/>
        </w:rPr>
      </w:pPr>
      <w:r w:rsidRPr="0034151C">
        <w:rPr>
          <w:sz w:val="28"/>
          <w:szCs w:val="28"/>
          <w:lang w:val="de-DE"/>
        </w:rPr>
        <w:t>(iv). Thực hiện quản lý nhà nước đối với hoạt động chuẩn đo lường bức xạ; quản lý chiếu xạ nghề nghiệp; quản lý hoạt động đào tạo an toàn bức xạ.</w:t>
      </w:r>
    </w:p>
    <w:p w:rsidR="00FC3D96" w:rsidRPr="0034151C" w:rsidRDefault="00FC3D96" w:rsidP="00FC3D96">
      <w:pPr>
        <w:spacing w:after="120"/>
        <w:ind w:firstLine="567"/>
        <w:jc w:val="both"/>
        <w:rPr>
          <w:sz w:val="28"/>
          <w:szCs w:val="28"/>
          <w:lang w:val="de-DE"/>
        </w:rPr>
      </w:pPr>
      <w:r w:rsidRPr="0034151C">
        <w:rPr>
          <w:sz w:val="28"/>
          <w:szCs w:val="28"/>
          <w:lang w:val="de-DE"/>
        </w:rPr>
        <w:t xml:space="preserve">Cục TBXHN tiếp tục tục kiểm tra đánh giá chất lượng dịch vụ đo liều chiếu xạ cá nhân đối với 06 đơn vị đã được Cục ATBXHN cấp giấy đăng ký thực hiện dịch vụ tại Việt Nam. </w:t>
      </w:r>
    </w:p>
    <w:p w:rsidR="00FC3D96" w:rsidRPr="0034151C" w:rsidRDefault="00FC3D96" w:rsidP="00FC3D96">
      <w:pPr>
        <w:spacing w:after="120"/>
        <w:ind w:firstLine="567"/>
        <w:jc w:val="both"/>
        <w:rPr>
          <w:sz w:val="28"/>
          <w:szCs w:val="28"/>
          <w:lang w:val="de-DE"/>
        </w:rPr>
      </w:pPr>
      <w:r w:rsidRPr="0034151C">
        <w:rPr>
          <w:sz w:val="28"/>
          <w:szCs w:val="28"/>
          <w:lang w:val="de-DE"/>
        </w:rPr>
        <w:t xml:space="preserve">Cục ATBXHN đã </w:t>
      </w:r>
      <w:r w:rsidR="00315182">
        <w:rPr>
          <w:sz w:val="28"/>
          <w:szCs w:val="28"/>
          <w:lang w:val="de-DE"/>
        </w:rPr>
        <w:t xml:space="preserve">tiến hành </w:t>
      </w:r>
      <w:r w:rsidRPr="0034151C">
        <w:rPr>
          <w:sz w:val="28"/>
          <w:szCs w:val="28"/>
          <w:lang w:val="de-DE"/>
        </w:rPr>
        <w:t xml:space="preserve">giám sát, hỗ trợ giảng viên các khóa đào tạo an toàn bức xạ, góp phần nâng cao chất lượng đào tạo, văn hóa an toàn, an ninh tại cơ sở. </w:t>
      </w:r>
    </w:p>
    <w:p w:rsidR="00FC3D96" w:rsidRPr="0034151C" w:rsidRDefault="00FC3D96" w:rsidP="00FC3D96">
      <w:pPr>
        <w:tabs>
          <w:tab w:val="left" w:pos="284"/>
        </w:tabs>
        <w:spacing w:after="120"/>
        <w:ind w:firstLine="567"/>
        <w:jc w:val="both"/>
        <w:rPr>
          <w:sz w:val="28"/>
          <w:szCs w:val="28"/>
          <w:lang w:val="de-DE"/>
        </w:rPr>
      </w:pPr>
      <w:r w:rsidRPr="0034151C">
        <w:rPr>
          <w:sz w:val="28"/>
          <w:szCs w:val="28"/>
          <w:lang w:val="de-DE"/>
        </w:rPr>
        <w:t>(v). Tổ chức kiểm soát, cải cách thủ tục hành chính trong hoạt động cấp phép, tăng cường giáp sát sau khi cấp phép.</w:t>
      </w:r>
    </w:p>
    <w:p w:rsidR="00FC3D96" w:rsidRPr="00FC3D96" w:rsidRDefault="00FC3D96" w:rsidP="00FC3D96">
      <w:pPr>
        <w:spacing w:after="120"/>
        <w:ind w:firstLine="567"/>
        <w:jc w:val="both"/>
        <w:rPr>
          <w:sz w:val="28"/>
          <w:szCs w:val="28"/>
          <w:lang w:val="de-DE"/>
        </w:rPr>
      </w:pPr>
      <w:r w:rsidRPr="00FC3D96">
        <w:rPr>
          <w:sz w:val="28"/>
          <w:szCs w:val="28"/>
          <w:lang w:val="de-DE"/>
        </w:rPr>
        <w:t xml:space="preserve">Để thực hiện cải cách các thủ tục hành chính trong hoạt động cấp phép, ngoài việc nghiên cứu trình Lãnh đạo Bộ KH&amp;CN ban hành các văn bản hướng dẫn, Cục ATBXHN đã xây dựng các quy trình hướng dẫn chi tiết liên quan đến hoạt động cấp giấy phép tiến hành công việc bức xạ, cấp giấy đăng ký hoạt động dịch vụ hỗ trợ ứng dụng năng lượng nguyên tử và đăng trên trang Website của Cục. Thực hiện niêm yết các thủ tục hành chính tại trụ sở của Cục ATBXHN, xây dựng quy trình phối hợp nội bộ trong thẩm định cấp phép góp phần nâng cao chất lượng, hiệu quả làm việc. </w:t>
      </w:r>
    </w:p>
    <w:p w:rsidR="00FC3D96" w:rsidRPr="00FC3D96" w:rsidRDefault="00FC3D96" w:rsidP="00FC3D96">
      <w:pPr>
        <w:spacing w:after="120"/>
        <w:ind w:firstLine="567"/>
        <w:jc w:val="both"/>
        <w:rPr>
          <w:sz w:val="28"/>
          <w:szCs w:val="28"/>
          <w:lang w:val="de-DE"/>
        </w:rPr>
      </w:pPr>
      <w:r w:rsidRPr="00FC3D96">
        <w:rPr>
          <w:sz w:val="28"/>
          <w:szCs w:val="28"/>
          <w:lang w:val="de-DE"/>
        </w:rPr>
        <w:lastRenderedPageBreak/>
        <w:t>Thường xuyên ra các văn bản đôn đốc, nhắc nhở các cơ sở tiến hành công việc bức xạ tuân thủ các quy định của pháp luật đặc biệt đối với việc tuân thủ việc gia hạn giấy phép, thực hiện các điều kiện của giấy phép và tăng cường an ninh nguồn phóng xạ.</w:t>
      </w:r>
    </w:p>
    <w:p w:rsidR="00FC3D96" w:rsidRPr="00FC3D96" w:rsidRDefault="00FC3D96" w:rsidP="00FC3D96">
      <w:pPr>
        <w:spacing w:after="120"/>
        <w:ind w:firstLine="567"/>
        <w:jc w:val="both"/>
        <w:rPr>
          <w:sz w:val="28"/>
          <w:szCs w:val="28"/>
          <w:lang w:val="de-DE"/>
        </w:rPr>
      </w:pPr>
      <w:r w:rsidRPr="00FC3D96">
        <w:rPr>
          <w:sz w:val="28"/>
          <w:szCs w:val="28"/>
          <w:lang w:val="de-DE"/>
        </w:rPr>
        <w:t xml:space="preserve">Kịp thời cung cấp thông tin, phối hợp với bộ phận thanh tra Cục để có các biện pháp chấn chỉnh, xử lý kịp thời đối với các trường hợp có dấu hiệu vi phạm về an toàn bức xạ và an ninh nguồn phóng xạ </w:t>
      </w:r>
    </w:p>
    <w:p w:rsidR="00FC3D96" w:rsidRPr="00FC3D96" w:rsidRDefault="00FC3D96" w:rsidP="00FC3D96">
      <w:pPr>
        <w:tabs>
          <w:tab w:val="left" w:pos="284"/>
        </w:tabs>
        <w:spacing w:after="120"/>
        <w:ind w:firstLine="567"/>
        <w:jc w:val="both"/>
        <w:rPr>
          <w:sz w:val="28"/>
          <w:szCs w:val="28"/>
          <w:lang w:val="de-DE"/>
        </w:rPr>
      </w:pPr>
      <w:r w:rsidRPr="00FC3D96">
        <w:rPr>
          <w:sz w:val="28"/>
          <w:szCs w:val="28"/>
          <w:lang w:val="de-DE"/>
        </w:rPr>
        <w:t>(vi). Quản lý hồ sơ cấp giấy phép, giấy đăng ký, chứng chỉ nhân viên bức xạ; Vận hành hệ thống quản lý dữ liệu cấp phép (RAISVN).</w:t>
      </w:r>
    </w:p>
    <w:p w:rsidR="00FC3D96" w:rsidRPr="00FC3D96" w:rsidRDefault="00FC3D96" w:rsidP="00FC3D96">
      <w:pPr>
        <w:spacing w:after="120"/>
        <w:ind w:firstLine="567"/>
        <w:jc w:val="both"/>
        <w:rPr>
          <w:sz w:val="28"/>
          <w:szCs w:val="28"/>
          <w:lang w:val="de-DE"/>
        </w:rPr>
      </w:pPr>
      <w:r w:rsidRPr="00FC3D96">
        <w:rPr>
          <w:sz w:val="28"/>
          <w:szCs w:val="28"/>
          <w:lang w:val="de-DE"/>
        </w:rPr>
        <w:t xml:space="preserve">Cục ATBXHN liên tục cập nhật giữ liệu, khai thác hiệu quả phục vụ hoạt động quản lý nhà nước theo chức năng của Cục.   </w:t>
      </w:r>
    </w:p>
    <w:p w:rsidR="00FC3D96" w:rsidRPr="00FC69A8" w:rsidRDefault="00FC3D96" w:rsidP="00FC69A8">
      <w:pPr>
        <w:spacing w:after="120"/>
        <w:ind w:firstLine="567"/>
        <w:jc w:val="both"/>
        <w:rPr>
          <w:sz w:val="28"/>
          <w:szCs w:val="28"/>
          <w:lang w:val="de-DE"/>
        </w:rPr>
      </w:pPr>
      <w:r w:rsidRPr="00FC69A8">
        <w:rPr>
          <w:sz w:val="28"/>
          <w:szCs w:val="28"/>
          <w:lang w:val="de-DE"/>
        </w:rPr>
        <w:t>Bên cạnh việc vận hành hệ thống quản lý giữ liệu cấp phép trực tuyến, Cục ATBXHN tổ chức lưu giữ, bảo quản hồ sơ cấp giấy phép, giấy đăng ký và chứng chỉ nhân viên bức xạ theo hệ thống ISO.</w:t>
      </w:r>
    </w:p>
    <w:p w:rsidR="00B01C3A" w:rsidRPr="0034151C" w:rsidRDefault="00371BED" w:rsidP="00727305">
      <w:pPr>
        <w:tabs>
          <w:tab w:val="left" w:pos="540"/>
          <w:tab w:val="left" w:pos="1080"/>
        </w:tabs>
        <w:spacing w:after="120"/>
        <w:ind w:firstLine="567"/>
        <w:jc w:val="both"/>
        <w:rPr>
          <w:b/>
          <w:color w:val="0000FF"/>
          <w:sz w:val="28"/>
          <w:szCs w:val="28"/>
          <w:lang w:val="nl-NL"/>
        </w:rPr>
      </w:pPr>
      <w:r>
        <w:rPr>
          <w:b/>
          <w:color w:val="0000FF"/>
          <w:sz w:val="28"/>
          <w:szCs w:val="28"/>
          <w:lang w:val="nl-NL"/>
        </w:rPr>
        <w:t>2</w:t>
      </w:r>
      <w:r w:rsidR="00495256" w:rsidRPr="0034151C">
        <w:rPr>
          <w:b/>
          <w:color w:val="0000FF"/>
          <w:sz w:val="28"/>
          <w:szCs w:val="28"/>
          <w:lang w:val="nl-NL"/>
        </w:rPr>
        <w:t>.</w:t>
      </w:r>
      <w:r w:rsidR="00FC69A8">
        <w:rPr>
          <w:b/>
          <w:color w:val="0000FF"/>
          <w:sz w:val="28"/>
          <w:szCs w:val="28"/>
          <w:lang w:val="nl-NL"/>
        </w:rPr>
        <w:t>2</w:t>
      </w:r>
      <w:r w:rsidR="00AA34E7" w:rsidRPr="0034151C">
        <w:rPr>
          <w:b/>
          <w:color w:val="0000FF"/>
          <w:sz w:val="28"/>
          <w:szCs w:val="28"/>
          <w:lang w:val="nl-NL"/>
        </w:rPr>
        <w:t xml:space="preserve">. </w:t>
      </w:r>
      <w:r w:rsidR="00DA2A46" w:rsidRPr="0034151C">
        <w:rPr>
          <w:b/>
          <w:color w:val="0000FF"/>
          <w:sz w:val="28"/>
          <w:szCs w:val="28"/>
          <w:lang w:val="nl-NL"/>
        </w:rPr>
        <w:t>Hoạt động</w:t>
      </w:r>
      <w:r w:rsidR="00B01C3A" w:rsidRPr="0034151C">
        <w:rPr>
          <w:b/>
          <w:color w:val="0000FF"/>
          <w:sz w:val="28"/>
          <w:szCs w:val="28"/>
          <w:lang w:val="nl-NL"/>
        </w:rPr>
        <w:t xml:space="preserve"> thanh tra chuyên ngành an toàn bức xạ, hạt nhân</w:t>
      </w:r>
    </w:p>
    <w:p w:rsidR="00CD25A0" w:rsidRPr="0034151C" w:rsidRDefault="00DA7903" w:rsidP="00727305">
      <w:pPr>
        <w:autoSpaceDE w:val="0"/>
        <w:autoSpaceDN w:val="0"/>
        <w:adjustRightInd w:val="0"/>
        <w:spacing w:after="120"/>
        <w:ind w:firstLine="567"/>
        <w:jc w:val="both"/>
        <w:rPr>
          <w:sz w:val="28"/>
          <w:szCs w:val="28"/>
          <w:lang w:val="nl-NL"/>
        </w:rPr>
      </w:pPr>
      <w:r w:rsidRPr="0034151C">
        <w:rPr>
          <w:sz w:val="28"/>
          <w:szCs w:val="28"/>
          <w:lang w:val="de-DE"/>
        </w:rPr>
        <w:t>Tính đến tháng 12</w:t>
      </w:r>
      <w:r w:rsidR="00CD25A0" w:rsidRPr="0034151C">
        <w:rPr>
          <w:sz w:val="28"/>
          <w:szCs w:val="28"/>
          <w:lang w:val="de-DE"/>
        </w:rPr>
        <w:t xml:space="preserve">/2015, </w:t>
      </w:r>
      <w:r w:rsidR="00CD25A0" w:rsidRPr="0034151C">
        <w:rPr>
          <w:spacing w:val="-2"/>
          <w:sz w:val="28"/>
          <w:szCs w:val="28"/>
          <w:lang w:val="nl-NL"/>
        </w:rPr>
        <w:t>Cục A</w:t>
      </w:r>
      <w:r w:rsidRPr="0034151C">
        <w:rPr>
          <w:spacing w:val="-2"/>
          <w:sz w:val="28"/>
          <w:szCs w:val="28"/>
          <w:lang w:val="nl-NL"/>
        </w:rPr>
        <w:t>TBXHN đã triển khai thực hiện 13 đợt thanh tra đối với 73</w:t>
      </w:r>
      <w:r w:rsidR="00CD25A0" w:rsidRPr="0034151C">
        <w:rPr>
          <w:spacing w:val="-2"/>
          <w:sz w:val="28"/>
          <w:szCs w:val="28"/>
          <w:lang w:val="nl-NL"/>
        </w:rPr>
        <w:t xml:space="preserve"> đơn vị</w:t>
      </w:r>
      <w:r w:rsidRPr="0034151C">
        <w:rPr>
          <w:spacing w:val="-2"/>
          <w:sz w:val="28"/>
          <w:szCs w:val="28"/>
          <w:lang w:val="nl-NL"/>
        </w:rPr>
        <w:t xml:space="preserve"> (năm 2014 là 57 đơn vị)</w:t>
      </w:r>
      <w:r w:rsidR="00CD25A0" w:rsidRPr="0034151C">
        <w:rPr>
          <w:spacing w:val="-2"/>
          <w:sz w:val="28"/>
          <w:szCs w:val="28"/>
          <w:lang w:val="nl-NL"/>
        </w:rPr>
        <w:t xml:space="preserve">. </w:t>
      </w:r>
      <w:r w:rsidR="00CD25A0" w:rsidRPr="0034151C">
        <w:rPr>
          <w:sz w:val="28"/>
          <w:szCs w:val="28"/>
          <w:lang w:val="nl-NL"/>
        </w:rPr>
        <w:t xml:space="preserve">Trọng tâm thanh tra của Cục ATBXHN tập trung vào các cơ sở công nghiệp lớn sử dụng nhiều nguồn phóng xạ, thiết bị bức xạ, các đơn vị NDT sử dụng nguồn bức xạ di động, những đơn vị chưa được thanh tra trong nhiều năm hoặc có biểu hiện không tuân thủ đầy đủ các quy định pháp luật, các cơ sở y tế lớn sử dụng nhiều thiết bị bức xạ, nguồn bức xạ trong khám chữa bệnh. Đặc biệt, Cục ATBXHN đã tiến hành </w:t>
      </w:r>
      <w:r w:rsidR="00CD25A0" w:rsidRPr="0034151C">
        <w:rPr>
          <w:rFonts w:eastAsia="TimesNewRomanPSMT"/>
          <w:sz w:val="28"/>
          <w:szCs w:val="28"/>
          <w:lang w:val="nl-NL"/>
        </w:rPr>
        <w:t>thanh tra hoạt động khảo sát, đánh giá địa điểm nhà máy điện hạt nhân tại Ninh Thuận (cuộc thanh tra được chia làm 03 đợt làm việc khác nhau</w:t>
      </w:r>
      <w:r w:rsidRPr="0034151C">
        <w:rPr>
          <w:rFonts w:eastAsia="TimesNewRomanPSMT"/>
          <w:sz w:val="28"/>
          <w:szCs w:val="28"/>
          <w:lang w:val="nl-NL"/>
        </w:rPr>
        <w:t xml:space="preserve"> kéo dài từ tháng 6 đến tháng 8 năm 2015</w:t>
      </w:r>
      <w:r w:rsidR="00CD25A0" w:rsidRPr="0034151C">
        <w:rPr>
          <w:rFonts w:eastAsia="TimesNewRomanPSMT"/>
          <w:sz w:val="28"/>
          <w:szCs w:val="28"/>
          <w:lang w:val="nl-NL"/>
        </w:rPr>
        <w:t xml:space="preserve">) và tiến hành thanh tra đột xuất đối với hầu hết các đơn vị sản xuất thép có sử dùng nguồn phóng xạ trên địa bàn tỉnh Bà Rịa-Vũng Tàu, nhằm  chấn chỉnh công tác bảo đảm an toàn, an ninh của các đơn vị này, tránh tình trạng làm thất lạc nguồn như trường hợp của Nhà máy luyện phôi thép–Chi nhánh Công ty cổ phần thép Pomina đã xảy ra đầu năm vừa qua. </w:t>
      </w:r>
    </w:p>
    <w:p w:rsidR="00CD41EC" w:rsidRDefault="00CD25A0" w:rsidP="00737CDA">
      <w:pPr>
        <w:autoSpaceDE w:val="0"/>
        <w:autoSpaceDN w:val="0"/>
        <w:adjustRightInd w:val="0"/>
        <w:spacing w:after="120"/>
        <w:ind w:firstLine="567"/>
        <w:jc w:val="both"/>
        <w:rPr>
          <w:sz w:val="28"/>
          <w:szCs w:val="28"/>
          <w:lang w:val="nl-NL"/>
        </w:rPr>
      </w:pPr>
      <w:r w:rsidRPr="0034151C">
        <w:rPr>
          <w:sz w:val="28"/>
          <w:szCs w:val="28"/>
          <w:lang w:val="nl-NL"/>
        </w:rPr>
        <w:t>Tổng số đơn vị vi phạm bị lập biên bả</w:t>
      </w:r>
      <w:r w:rsidR="00DA7903" w:rsidRPr="0034151C">
        <w:rPr>
          <w:sz w:val="28"/>
          <w:szCs w:val="28"/>
          <w:lang w:val="nl-NL"/>
        </w:rPr>
        <w:t>n xử lý vi phạm hành chính là 12</w:t>
      </w:r>
      <w:r w:rsidRPr="0034151C">
        <w:rPr>
          <w:sz w:val="28"/>
          <w:szCs w:val="28"/>
          <w:lang w:val="nl-NL"/>
        </w:rPr>
        <w:t xml:space="preserve"> đơn vị. Tổng số tiền x</w:t>
      </w:r>
      <w:r w:rsidR="00DA7903" w:rsidRPr="0034151C">
        <w:rPr>
          <w:sz w:val="28"/>
          <w:szCs w:val="28"/>
          <w:lang w:val="nl-NL"/>
        </w:rPr>
        <w:t>ử phạt vi phạm hành chính là 202</w:t>
      </w:r>
      <w:r w:rsidRPr="0034151C">
        <w:rPr>
          <w:sz w:val="28"/>
          <w:szCs w:val="28"/>
          <w:lang w:val="nl-NL"/>
        </w:rPr>
        <w:t xml:space="preserve"> triệu đồng.</w:t>
      </w:r>
    </w:p>
    <w:p w:rsidR="00FC69A8" w:rsidRPr="0034151C" w:rsidRDefault="00FC69A8" w:rsidP="00FC69A8">
      <w:pPr>
        <w:spacing w:after="120"/>
        <w:ind w:firstLine="567"/>
        <w:jc w:val="both"/>
        <w:rPr>
          <w:b/>
          <w:color w:val="0000FF"/>
          <w:sz w:val="28"/>
          <w:szCs w:val="28"/>
          <w:lang w:val="nl-NL"/>
        </w:rPr>
      </w:pPr>
      <w:r>
        <w:rPr>
          <w:b/>
          <w:color w:val="0000FF"/>
          <w:sz w:val="28"/>
          <w:szCs w:val="28"/>
          <w:lang w:val="nl-NL"/>
        </w:rPr>
        <w:t>2</w:t>
      </w:r>
      <w:r w:rsidRPr="0034151C">
        <w:rPr>
          <w:b/>
          <w:color w:val="0000FF"/>
          <w:sz w:val="28"/>
          <w:szCs w:val="28"/>
          <w:lang w:val="nl-NL"/>
        </w:rPr>
        <w:t>.</w:t>
      </w:r>
      <w:r>
        <w:rPr>
          <w:b/>
          <w:color w:val="0000FF"/>
          <w:sz w:val="28"/>
          <w:szCs w:val="28"/>
          <w:lang w:val="nl-NL"/>
        </w:rPr>
        <w:t>3</w:t>
      </w:r>
      <w:r w:rsidRPr="0034151C">
        <w:rPr>
          <w:b/>
          <w:color w:val="0000FF"/>
          <w:sz w:val="28"/>
          <w:szCs w:val="28"/>
          <w:lang w:val="nl-NL"/>
        </w:rPr>
        <w:t>. Hoạt động hỗ trợ kỹ thuật</w:t>
      </w:r>
    </w:p>
    <w:p w:rsidR="00FC69A8" w:rsidRPr="0034151C" w:rsidRDefault="00FC69A8" w:rsidP="00FC69A8">
      <w:pPr>
        <w:spacing w:after="120"/>
        <w:ind w:firstLine="567"/>
        <w:jc w:val="both"/>
        <w:rPr>
          <w:b/>
          <w:i/>
          <w:sz w:val="28"/>
          <w:szCs w:val="28"/>
          <w:lang w:val="pt-BR"/>
        </w:rPr>
      </w:pPr>
      <w:r w:rsidRPr="0034151C">
        <w:rPr>
          <w:b/>
          <w:i/>
          <w:sz w:val="28"/>
          <w:szCs w:val="28"/>
          <w:lang w:val="pt-BR"/>
        </w:rPr>
        <w:t xml:space="preserve">(i) Công tác thẩm định báo cáo phân tích an toàn cho NMĐHN Ninh Thuận 1 </w:t>
      </w:r>
    </w:p>
    <w:p w:rsidR="00FC69A8" w:rsidRPr="0034151C" w:rsidRDefault="00FC69A8" w:rsidP="00FC69A8">
      <w:pPr>
        <w:spacing w:after="120"/>
        <w:ind w:firstLine="567"/>
        <w:jc w:val="both"/>
        <w:rPr>
          <w:i/>
          <w:spacing w:val="-4"/>
          <w:sz w:val="28"/>
          <w:szCs w:val="28"/>
          <w:lang w:val="nl-NL"/>
        </w:rPr>
      </w:pPr>
      <w:r w:rsidRPr="0034151C">
        <w:rPr>
          <w:i/>
          <w:sz w:val="28"/>
          <w:szCs w:val="28"/>
          <w:lang w:val="pt-BR"/>
        </w:rPr>
        <w:t xml:space="preserve">a) </w:t>
      </w:r>
      <w:r w:rsidRPr="0034151C">
        <w:rPr>
          <w:i/>
          <w:spacing w:val="-4"/>
          <w:sz w:val="28"/>
          <w:szCs w:val="28"/>
          <w:lang w:val="nl-NL"/>
        </w:rPr>
        <w:t>Công tác xử lý hồ sơ Báo cáo phân tích an toàn nhà máy điện hạt nhân Ninh Thuận 1</w:t>
      </w:r>
    </w:p>
    <w:p w:rsidR="00FC69A8" w:rsidRPr="0034151C" w:rsidRDefault="00FC69A8" w:rsidP="00FC69A8">
      <w:pPr>
        <w:spacing w:after="120"/>
        <w:ind w:firstLine="567"/>
        <w:jc w:val="both"/>
        <w:rPr>
          <w:sz w:val="28"/>
          <w:szCs w:val="28"/>
          <w:lang w:val="nl-NL"/>
        </w:rPr>
      </w:pPr>
      <w:r w:rsidRPr="0034151C">
        <w:rPr>
          <w:sz w:val="28"/>
          <w:szCs w:val="28"/>
          <w:lang w:val="nl-NL"/>
        </w:rPr>
        <w:t>Cục đã xử lý sơ bộ hồ sơ và có ý kiến trả lời EVN trong vòng 15 ngày theo quy định. Song song với công tác chuẩn bị mới thầu tư vấn quốc tế, Cục tiếp tục công tác thẩm định báo cáo để đưa ra những đánh giá sơ bộ để phục vụ cho công tác mời thầu, quản lý quá trình thực hiện và thẩm tra kết quả thẩm định của nhà thầu.</w:t>
      </w:r>
    </w:p>
    <w:p w:rsidR="00FC69A8" w:rsidRPr="0034151C" w:rsidRDefault="00FC69A8" w:rsidP="00FC69A8">
      <w:pPr>
        <w:spacing w:after="120"/>
        <w:ind w:firstLine="567"/>
        <w:jc w:val="both"/>
        <w:rPr>
          <w:sz w:val="26"/>
          <w:szCs w:val="26"/>
          <w:lang w:val="nl-NL"/>
        </w:rPr>
      </w:pPr>
      <w:r w:rsidRPr="0034151C">
        <w:rPr>
          <w:sz w:val="28"/>
          <w:szCs w:val="28"/>
          <w:lang w:val="nl-NL"/>
        </w:rPr>
        <w:t xml:space="preserve">Ngoài ra, Cục cũng chuẩn bị thẩm định hồ sơ danh mục các tiêu chuẩn, quy chuẩn áp dụng, cụ thể đã triển khai nghiên cứu hồ sơ xin áp dụng tiêu chuẩn của EVN, chuẩn bị tài liệu phân loại tiêu chuẩn nước ngoài, đánh giá và phân nhóm tiêu chuẩn an toàn hạt nhân theo nội dung công việc của tổ thẩm định số 1 về văn bản và </w:t>
      </w:r>
      <w:r w:rsidRPr="0034151C">
        <w:rPr>
          <w:sz w:val="28"/>
          <w:szCs w:val="28"/>
          <w:lang w:val="nl-NL"/>
        </w:rPr>
        <w:lastRenderedPageBreak/>
        <w:t>tiêu chuẩn</w:t>
      </w:r>
      <w:r w:rsidRPr="0034151C">
        <w:rPr>
          <w:sz w:val="26"/>
          <w:szCs w:val="26"/>
          <w:lang w:val="nl-NL"/>
        </w:rPr>
        <w:t>. Đã làm việc với EVN để xử lý một số bất cập trong áp dụng Thông tư 21/2013/TT-BKHCN về án dụng các tiêu chuẩn an toàn hạt nhân trong dự án điện hạt nhân Ninh Thuận.</w:t>
      </w:r>
    </w:p>
    <w:p w:rsidR="00FC69A8" w:rsidRPr="0034151C" w:rsidRDefault="00FC69A8" w:rsidP="00FC69A8">
      <w:pPr>
        <w:spacing w:after="120"/>
        <w:ind w:firstLine="567"/>
        <w:jc w:val="both"/>
        <w:rPr>
          <w:i/>
          <w:sz w:val="28"/>
          <w:szCs w:val="28"/>
          <w:lang w:val="nl-NL"/>
        </w:rPr>
      </w:pPr>
      <w:r w:rsidRPr="0034151C">
        <w:rPr>
          <w:i/>
          <w:sz w:val="28"/>
          <w:szCs w:val="28"/>
          <w:lang w:val="nl-NL"/>
        </w:rPr>
        <w:t>b) Công tác mời thầu tư vấn quốc tế</w:t>
      </w:r>
    </w:p>
    <w:p w:rsidR="00FC69A8" w:rsidRPr="0034151C" w:rsidRDefault="00FC69A8" w:rsidP="00FC69A8">
      <w:pPr>
        <w:spacing w:after="120"/>
        <w:ind w:firstLine="567"/>
        <w:jc w:val="both"/>
        <w:rPr>
          <w:sz w:val="28"/>
          <w:szCs w:val="28"/>
          <w:lang w:val="nl-NL"/>
        </w:rPr>
      </w:pPr>
      <w:r w:rsidRPr="0034151C">
        <w:rPr>
          <w:sz w:val="28"/>
          <w:szCs w:val="28"/>
          <w:lang w:val="nl-NL"/>
        </w:rPr>
        <w:t>Trong năm 2015, Cục đã triển khai các công tác chuẩn bị cho việc mời thầu tư vấn quốc tế hỗ trợ Cơ quan pháp quy Việt Nam trong thẩm định Báo cáo phân tích an toàn và Báo cáo đánh giá tác động môi trường đối với phê duyệt địa điểm và nghiên cứu khả thi dự án điện hạt nhân Ninh Thuận 1. Cụ thể: xây dựng Kế hoạch lựa chọn nhà thầu; danh sách ngắn các nhà thầu tham gia đấu thầu hạn chế; lựa chọn đơn vị tư vấn trong nước hỗ trợ công tác đấu thầu cho Cục An toàn bức xạ và hạt nhân; xây dựng hồ sơ mời thầu gói thầu “Dịch vụ tư vấn hỗ trợ Cơ quan pháp quy Việt Nam trong thẩm định Báo cáo phân tích an toàn đối với phê duyệt địa điểm và nghiên cứu khả thi dự án điện hạt nhân Ninh Thuận 1”; yêu cầu thẩm định, tiêu chí chấm điểm nhà thầu....</w:t>
      </w:r>
    </w:p>
    <w:p w:rsidR="00FC69A8" w:rsidRPr="0034151C" w:rsidRDefault="00FC69A8" w:rsidP="00FC69A8">
      <w:pPr>
        <w:spacing w:after="120"/>
        <w:ind w:firstLine="567"/>
        <w:jc w:val="both"/>
        <w:rPr>
          <w:b/>
          <w:i/>
          <w:sz w:val="28"/>
          <w:szCs w:val="28"/>
          <w:lang w:val="pt-BR"/>
        </w:rPr>
      </w:pPr>
      <w:r w:rsidRPr="0034151C">
        <w:rPr>
          <w:b/>
          <w:i/>
          <w:sz w:val="28"/>
          <w:szCs w:val="28"/>
          <w:lang w:val="pt-BR"/>
        </w:rPr>
        <w:t>(ii). Công tác quản lý an toàn đối với lò phản ứng nghiên cứu Đà Lạt</w:t>
      </w:r>
    </w:p>
    <w:p w:rsidR="00FC69A8" w:rsidRPr="0034151C" w:rsidRDefault="00FC69A8" w:rsidP="00FC69A8">
      <w:pPr>
        <w:widowControl w:val="0"/>
        <w:tabs>
          <w:tab w:val="left" w:pos="567"/>
          <w:tab w:val="left" w:pos="993"/>
        </w:tabs>
        <w:autoSpaceDE w:val="0"/>
        <w:autoSpaceDN w:val="0"/>
        <w:spacing w:after="120"/>
        <w:ind w:firstLine="567"/>
        <w:jc w:val="both"/>
        <w:rPr>
          <w:rFonts w:eastAsia="Batang"/>
          <w:kern w:val="2"/>
          <w:sz w:val="28"/>
          <w:szCs w:val="28"/>
          <w:lang w:val="pt-BR" w:eastAsia="ko-KR"/>
        </w:rPr>
      </w:pPr>
      <w:r w:rsidRPr="0034151C">
        <w:rPr>
          <w:rFonts w:eastAsia="Batang"/>
          <w:kern w:val="2"/>
          <w:sz w:val="28"/>
          <w:szCs w:val="28"/>
          <w:lang w:val="pt-BR" w:eastAsia="ko-KR"/>
        </w:rPr>
        <w:t>Trong năm 2015, Cục tiếp tục thực hiện công tác đánh giá và thanh tra an toàn hoạt động lò phản ứng nghiên cứu Đà Lạt, cụ thể:</w:t>
      </w:r>
    </w:p>
    <w:p w:rsidR="00FC69A8" w:rsidRPr="0034151C" w:rsidRDefault="00FC69A8" w:rsidP="00FC69A8">
      <w:pPr>
        <w:spacing w:after="120"/>
        <w:ind w:firstLine="567"/>
        <w:jc w:val="both"/>
        <w:rPr>
          <w:rFonts w:eastAsia="Batang"/>
          <w:kern w:val="2"/>
          <w:sz w:val="28"/>
          <w:szCs w:val="28"/>
          <w:lang w:val="pt-BR" w:eastAsia="ko-KR"/>
        </w:rPr>
      </w:pPr>
      <w:r w:rsidRPr="0034151C">
        <w:rPr>
          <w:rFonts w:eastAsia="Batang"/>
          <w:kern w:val="2"/>
          <w:sz w:val="28"/>
          <w:szCs w:val="28"/>
          <w:lang w:val="pt-BR" w:eastAsia="ko-KR"/>
        </w:rPr>
        <w:t>- Xử lý các vấn đề về quản lý pháp quy liên quan đến sự cố đứt dây cáp thanh điều khiển và sự cố dừng lò tự động ngoài kế hoạch do hỏng thiết bị tự ghi lưu lượng nước làm mát vòng II lò PƯNC Đà Lạt;</w:t>
      </w:r>
    </w:p>
    <w:p w:rsidR="00FC69A8" w:rsidRPr="0034151C" w:rsidRDefault="00FC69A8" w:rsidP="00FC69A8">
      <w:pPr>
        <w:spacing w:after="120"/>
        <w:ind w:firstLine="567"/>
        <w:jc w:val="both"/>
        <w:rPr>
          <w:b/>
          <w:sz w:val="28"/>
          <w:szCs w:val="28"/>
          <w:lang w:val="nl-NL"/>
        </w:rPr>
      </w:pPr>
      <w:r w:rsidRPr="0034151C">
        <w:rPr>
          <w:rFonts w:eastAsia="Batang"/>
          <w:kern w:val="2"/>
          <w:sz w:val="28"/>
          <w:szCs w:val="28"/>
          <w:lang w:val="pt-BR" w:eastAsia="ko-KR"/>
        </w:rPr>
        <w:t>- Lập báo cáo an toàn lò phản ứng nghiên cứu gửi IAEA lên hệ thống IRSRR theo đúng hạn định của IAEA.</w:t>
      </w:r>
    </w:p>
    <w:p w:rsidR="00FC69A8" w:rsidRPr="0034151C" w:rsidRDefault="00FC69A8" w:rsidP="00FC69A8">
      <w:pPr>
        <w:spacing w:after="120"/>
        <w:ind w:firstLine="567"/>
        <w:jc w:val="both"/>
        <w:rPr>
          <w:b/>
          <w:sz w:val="28"/>
          <w:szCs w:val="28"/>
          <w:lang w:val="nl-NL"/>
        </w:rPr>
      </w:pPr>
      <w:r w:rsidRPr="0034151C">
        <w:rPr>
          <w:b/>
          <w:sz w:val="28"/>
          <w:szCs w:val="28"/>
          <w:lang w:val="nl-NL"/>
        </w:rPr>
        <w:t>(iii) Công tác ứng phó sự cố</w:t>
      </w:r>
    </w:p>
    <w:p w:rsidR="00FC69A8" w:rsidRPr="0034151C" w:rsidRDefault="00FC69A8" w:rsidP="00FC69A8">
      <w:pPr>
        <w:spacing w:after="120"/>
        <w:ind w:right="101" w:firstLine="567"/>
        <w:jc w:val="both"/>
        <w:rPr>
          <w:sz w:val="28"/>
          <w:szCs w:val="28"/>
          <w:lang w:val="pt-BR"/>
        </w:rPr>
      </w:pPr>
      <w:r w:rsidRPr="0034151C">
        <w:rPr>
          <w:sz w:val="28"/>
          <w:szCs w:val="28"/>
          <w:lang w:val="pt-BR"/>
        </w:rPr>
        <w:t>- Cử cán bộ vào tỉnh Bà Rịa Vũng Tầu để xử lý sự cố tại Công ty CP Thép Pomina; thu hồi 01 nguồn phóng xạ tại Thị xã Sơn Tây- Hà Nội;</w:t>
      </w:r>
      <w:r>
        <w:rPr>
          <w:sz w:val="28"/>
          <w:szCs w:val="28"/>
          <w:lang w:val="pt-BR"/>
        </w:rPr>
        <w:t xml:space="preserve"> xử lý sự cố tại nhà máy xi măng Bắc Kạn.</w:t>
      </w:r>
    </w:p>
    <w:p w:rsidR="00FC69A8" w:rsidRPr="0034151C" w:rsidRDefault="00FC69A8" w:rsidP="00FC69A8">
      <w:pPr>
        <w:spacing w:after="120"/>
        <w:ind w:right="101" w:firstLine="567"/>
        <w:jc w:val="both"/>
        <w:rPr>
          <w:sz w:val="28"/>
          <w:szCs w:val="28"/>
          <w:lang w:val="pt-BR"/>
        </w:rPr>
      </w:pPr>
      <w:r w:rsidRPr="0034151C">
        <w:rPr>
          <w:sz w:val="28"/>
          <w:szCs w:val="28"/>
          <w:lang w:val="pt-BR"/>
        </w:rPr>
        <w:t>- Xây dựng và quản lý dữ liệu thông tin về các sự cố xảy ra Việt Nam.</w:t>
      </w:r>
    </w:p>
    <w:p w:rsidR="00FC69A8" w:rsidRPr="0034151C" w:rsidRDefault="00FC69A8" w:rsidP="00FC69A8">
      <w:pPr>
        <w:spacing w:after="120"/>
        <w:ind w:firstLine="567"/>
        <w:jc w:val="both"/>
        <w:rPr>
          <w:b/>
          <w:sz w:val="28"/>
          <w:szCs w:val="28"/>
          <w:lang w:val="nl-NL"/>
        </w:rPr>
      </w:pPr>
      <w:r>
        <w:rPr>
          <w:rFonts w:eastAsia="Batang"/>
          <w:b/>
          <w:color w:val="0000FF"/>
          <w:kern w:val="2"/>
          <w:sz w:val="28"/>
          <w:szCs w:val="28"/>
          <w:lang w:val="pt-BR" w:eastAsia="ko-KR"/>
        </w:rPr>
        <w:t>2.4</w:t>
      </w:r>
      <w:r w:rsidRPr="0034151C">
        <w:rPr>
          <w:rFonts w:eastAsia="Batang"/>
          <w:b/>
          <w:color w:val="0000FF"/>
          <w:kern w:val="2"/>
          <w:sz w:val="28"/>
          <w:szCs w:val="28"/>
          <w:lang w:val="pt-BR" w:eastAsia="ko-KR"/>
        </w:rPr>
        <w:t xml:space="preserve">. </w:t>
      </w:r>
      <w:r w:rsidRPr="0034151C">
        <w:rPr>
          <w:b/>
          <w:color w:val="0000FF"/>
          <w:sz w:val="28"/>
          <w:szCs w:val="28"/>
          <w:lang w:val="pt-BR"/>
        </w:rPr>
        <w:t>An ninh và thanh sát hạt nhân:</w:t>
      </w:r>
    </w:p>
    <w:p w:rsidR="00FC69A8" w:rsidRPr="0034151C" w:rsidRDefault="00FC69A8" w:rsidP="00FC69A8">
      <w:pPr>
        <w:spacing w:after="120"/>
        <w:ind w:firstLine="567"/>
        <w:jc w:val="both"/>
        <w:rPr>
          <w:b/>
          <w:i/>
          <w:color w:val="0000FF"/>
          <w:sz w:val="28"/>
          <w:szCs w:val="28"/>
          <w:lang w:val="nl-NL"/>
        </w:rPr>
      </w:pPr>
      <w:r w:rsidRPr="0034151C">
        <w:rPr>
          <w:b/>
          <w:color w:val="0000FF"/>
          <w:sz w:val="28"/>
          <w:szCs w:val="28"/>
          <w:lang w:val="nl-NL"/>
        </w:rPr>
        <w:t xml:space="preserve">(i). </w:t>
      </w:r>
      <w:r w:rsidRPr="0034151C">
        <w:rPr>
          <w:b/>
          <w:i/>
          <w:color w:val="0000FF"/>
          <w:sz w:val="28"/>
          <w:szCs w:val="28"/>
          <w:lang w:val="nl-NL"/>
        </w:rPr>
        <w:t>An ninh hạt nhân</w:t>
      </w:r>
    </w:p>
    <w:p w:rsidR="00FC69A8" w:rsidRPr="0034151C" w:rsidRDefault="00FC69A8" w:rsidP="00FC69A8">
      <w:pPr>
        <w:spacing w:after="120"/>
        <w:ind w:firstLine="567"/>
        <w:jc w:val="both"/>
        <w:rPr>
          <w:sz w:val="28"/>
          <w:szCs w:val="28"/>
          <w:lang w:val="pt-BR"/>
        </w:rPr>
      </w:pPr>
      <w:r w:rsidRPr="0034151C">
        <w:rPr>
          <w:sz w:val="28"/>
          <w:szCs w:val="28"/>
          <w:lang w:val="pt-BR"/>
        </w:rPr>
        <w:t xml:space="preserve">- </w:t>
      </w:r>
      <w:r>
        <w:rPr>
          <w:sz w:val="28"/>
          <w:szCs w:val="28"/>
          <w:lang w:val="pt-BR"/>
        </w:rPr>
        <w:t>S</w:t>
      </w:r>
      <w:r w:rsidRPr="0034151C">
        <w:rPr>
          <w:sz w:val="28"/>
          <w:szCs w:val="28"/>
          <w:lang w:val="pt-BR"/>
        </w:rPr>
        <w:t>ửa đổi, bổ sung Thông tư 23 đã được Bộ KHCN ban hành ngày 21/7/2015, quy định các cơ sở có nguồn phóng xạ sử dụng di động phải lắp đặt thiết bị định vị cho nguồn phóng xạ để có thể xác định vị trí các nguồn này trong quá trình di chuyển cũng như phối hợp với các đơn vị liên quan thiết lập hạ tầng kỹ thuật cho hệ thống theo dõi nguồn phóng xạ, kết nối giữa cơ quan quản lý và các cơ sở có nguồn phóng xạ. Ngoài r</w:t>
      </w:r>
      <w:r w:rsidR="00BB265E">
        <w:rPr>
          <w:sz w:val="28"/>
          <w:szCs w:val="28"/>
          <w:lang w:val="pt-BR"/>
        </w:rPr>
        <w:t>a, Cục đã triển khai thực hiện</w:t>
      </w:r>
      <w:r w:rsidRPr="0034151C">
        <w:rPr>
          <w:sz w:val="28"/>
          <w:szCs w:val="28"/>
          <w:lang w:val="pt-BR"/>
        </w:rPr>
        <w:t xml:space="preserve"> thử nghiệm việc sử dụng Hệ thống định vị nguồn phóng xạ (RADLOT) tại Việt Nam, nhằm đóng góp vào việc thúc đẩy an ninh hạt ninh nguồn ph</w:t>
      </w:r>
      <w:r w:rsidR="00BB265E">
        <w:rPr>
          <w:sz w:val="28"/>
          <w:szCs w:val="28"/>
          <w:lang w:val="pt-BR"/>
        </w:rPr>
        <w:t>óng xạ</w:t>
      </w:r>
      <w:r w:rsidRPr="0034151C">
        <w:rPr>
          <w:sz w:val="28"/>
          <w:szCs w:val="28"/>
          <w:lang w:val="pt-BR"/>
        </w:rPr>
        <w:t>.</w:t>
      </w:r>
    </w:p>
    <w:p w:rsidR="00FC69A8" w:rsidRPr="0034151C" w:rsidRDefault="00BB265E" w:rsidP="00FC69A8">
      <w:pPr>
        <w:spacing w:after="120"/>
        <w:ind w:firstLine="567"/>
        <w:jc w:val="both"/>
        <w:rPr>
          <w:sz w:val="28"/>
          <w:szCs w:val="28"/>
          <w:lang w:val="pt-BR"/>
        </w:rPr>
      </w:pPr>
      <w:r>
        <w:rPr>
          <w:sz w:val="28"/>
          <w:szCs w:val="28"/>
          <w:lang w:val="pt-BR"/>
        </w:rPr>
        <w:t>- T</w:t>
      </w:r>
      <w:r w:rsidR="00FC69A8" w:rsidRPr="0034151C">
        <w:rPr>
          <w:sz w:val="28"/>
          <w:szCs w:val="28"/>
          <w:lang w:val="pt-BR"/>
        </w:rPr>
        <w:t>ổ chức 02 Hội thảo về Văn hóa an ninh hạt nhân cho cán bộ một số Sở Khoa học và Công nghệ cũng như cán bộ an toàn bức xạ của các cơ sở có nguồn phóng xạ sử dụng di động và các cơ sở có nguồn phóng xạ hoạt độ cao.</w:t>
      </w:r>
    </w:p>
    <w:p w:rsidR="00FC69A8" w:rsidRPr="0034151C" w:rsidRDefault="00FC69A8" w:rsidP="00FC69A8">
      <w:pPr>
        <w:spacing w:after="120"/>
        <w:ind w:firstLine="567"/>
        <w:jc w:val="both"/>
        <w:rPr>
          <w:noProof/>
          <w:sz w:val="28"/>
          <w:szCs w:val="28"/>
          <w:lang w:val="pt-BR"/>
        </w:rPr>
      </w:pPr>
      <w:r w:rsidRPr="0034151C">
        <w:rPr>
          <w:noProof/>
          <w:sz w:val="28"/>
          <w:szCs w:val="28"/>
          <w:lang w:val="pt-BR"/>
        </w:rPr>
        <w:lastRenderedPageBreak/>
        <w:t xml:space="preserve">- </w:t>
      </w:r>
      <w:r w:rsidR="00BB265E">
        <w:rPr>
          <w:noProof/>
          <w:sz w:val="28"/>
          <w:szCs w:val="28"/>
          <w:lang w:val="pt-BR"/>
        </w:rPr>
        <w:t>X</w:t>
      </w:r>
      <w:r>
        <w:rPr>
          <w:noProof/>
          <w:sz w:val="28"/>
          <w:szCs w:val="28"/>
          <w:lang w:val="pt-BR"/>
        </w:rPr>
        <w:t xml:space="preserve">ây dựng được </w:t>
      </w:r>
      <w:r w:rsidRPr="0034151C">
        <w:rPr>
          <w:noProof/>
          <w:sz w:val="28"/>
          <w:szCs w:val="28"/>
          <w:lang w:val="pt-BR"/>
        </w:rPr>
        <w:t>“Kế hoạch hỗ trợ của IAEA xây dựng khung pháp quy về an ninh hạt nhân  cho Chương trình điện hạt nhân” giai</w:t>
      </w:r>
      <w:r>
        <w:rPr>
          <w:noProof/>
          <w:sz w:val="28"/>
          <w:szCs w:val="28"/>
          <w:lang w:val="pt-BR"/>
        </w:rPr>
        <w:t xml:space="preserve"> đoạn 2014-2016</w:t>
      </w:r>
      <w:r w:rsidRPr="0034151C">
        <w:rPr>
          <w:noProof/>
          <w:sz w:val="28"/>
          <w:szCs w:val="28"/>
          <w:lang w:val="pt-BR"/>
        </w:rPr>
        <w:t xml:space="preserve">. </w:t>
      </w:r>
    </w:p>
    <w:p w:rsidR="00FC69A8" w:rsidRPr="0034151C" w:rsidRDefault="00FC69A8" w:rsidP="00FC69A8">
      <w:pPr>
        <w:spacing w:after="120"/>
        <w:ind w:firstLine="567"/>
        <w:jc w:val="both"/>
        <w:rPr>
          <w:sz w:val="28"/>
          <w:szCs w:val="28"/>
          <w:lang w:val="pt-BR"/>
        </w:rPr>
      </w:pPr>
      <w:r w:rsidRPr="0034151C">
        <w:rPr>
          <w:sz w:val="28"/>
          <w:szCs w:val="28"/>
          <w:lang w:val="pt-BR"/>
        </w:rPr>
        <w:t xml:space="preserve">- </w:t>
      </w:r>
      <w:r w:rsidR="00BB265E">
        <w:rPr>
          <w:sz w:val="28"/>
          <w:szCs w:val="28"/>
          <w:lang w:val="pt-BR"/>
        </w:rPr>
        <w:t>P</w:t>
      </w:r>
      <w:r w:rsidRPr="0034151C">
        <w:rPr>
          <w:sz w:val="28"/>
          <w:szCs w:val="28"/>
          <w:lang w:val="pt-BR"/>
        </w:rPr>
        <w:t xml:space="preserve">hối hợp với Tổng cục Hải quan tổ chức nghiệm thu hệ thống phát hiện phóng xạ tại Sân bay Nội Bài và mạng an ninh hạt nhân quốc gia đặt tại Tổng cục Hải quan và Trung tâm Hỗ trợ Kỹ thuật của Cục; phối hợp với Tổng cục Hải quan (Bộ Tài chính) xây dựng Thông tư số 112/2015/TTLT-BTC-BKHCN Hướng dẫn cơ chế phối hợp và xử lý trong việc kiểm tra, phát hiện chất phóng xạ tại các cửa khẩu; </w:t>
      </w:r>
      <w:r w:rsidR="00BB265E">
        <w:rPr>
          <w:sz w:val="28"/>
          <w:szCs w:val="28"/>
          <w:lang w:val="pt-BR"/>
        </w:rPr>
        <w:t>P</w:t>
      </w:r>
      <w:r w:rsidRPr="0034151C">
        <w:rPr>
          <w:sz w:val="28"/>
          <w:szCs w:val="28"/>
          <w:lang w:val="pt-BR"/>
        </w:rPr>
        <w:t xml:space="preserve">hối hợp với Tổng cục Hải quan liên quan đến Chương trình Kiểm soát xuất khẩu và Biên giới liên quan (EXBS) và Sáng kiến Megaport của Hoa Kỳ; </w:t>
      </w:r>
    </w:p>
    <w:p w:rsidR="00FC69A8" w:rsidRPr="0034151C" w:rsidRDefault="00BB265E" w:rsidP="00FC69A8">
      <w:pPr>
        <w:spacing w:after="120"/>
        <w:ind w:firstLine="567"/>
        <w:jc w:val="both"/>
        <w:rPr>
          <w:sz w:val="28"/>
          <w:szCs w:val="28"/>
          <w:lang w:val="pt-BR"/>
        </w:rPr>
      </w:pPr>
      <w:r>
        <w:rPr>
          <w:sz w:val="28"/>
          <w:szCs w:val="28"/>
          <w:lang w:val="pt-BR"/>
        </w:rPr>
        <w:t>- P</w:t>
      </w:r>
      <w:r w:rsidR="00FC69A8">
        <w:rPr>
          <w:sz w:val="28"/>
          <w:szCs w:val="28"/>
          <w:lang w:val="pt-BR"/>
        </w:rPr>
        <w:t>hối hợp với Bộ Công an tổ chức Hội thảo “K</w:t>
      </w:r>
      <w:r w:rsidR="00FC69A8" w:rsidRPr="0034151C">
        <w:rPr>
          <w:sz w:val="28"/>
          <w:szCs w:val="28"/>
          <w:lang w:val="pt-BR"/>
        </w:rPr>
        <w:t>hung văn bả</w:t>
      </w:r>
      <w:r w:rsidR="00FC69A8">
        <w:rPr>
          <w:sz w:val="28"/>
          <w:szCs w:val="28"/>
          <w:lang w:val="pt-BR"/>
        </w:rPr>
        <w:t xml:space="preserve">n pháp quy về an ninh hạt nhân” </w:t>
      </w:r>
      <w:r w:rsidR="00315182">
        <w:rPr>
          <w:sz w:val="28"/>
          <w:szCs w:val="28"/>
          <w:lang w:val="pt-BR"/>
        </w:rPr>
        <w:t>phụ</w:t>
      </w:r>
      <w:r>
        <w:rPr>
          <w:sz w:val="28"/>
          <w:szCs w:val="28"/>
          <w:lang w:val="pt-BR"/>
        </w:rPr>
        <w:t xml:space="preserve">c vụ triển khai dự án điện hạt nhân; </w:t>
      </w:r>
      <w:r w:rsidR="00FC69A8" w:rsidRPr="0034151C">
        <w:rPr>
          <w:sz w:val="28"/>
          <w:szCs w:val="28"/>
          <w:lang w:val="pt-BR"/>
        </w:rPr>
        <w:t>góp ý cho dự thảo DBT của Bộ Công an làm cơ sở cho việc thiết kế hệ thống bảo vệ thực thể cơ sở hạt nhân, phục vụ chương trình điện hạt nhân.</w:t>
      </w:r>
    </w:p>
    <w:p w:rsidR="00FC69A8" w:rsidRPr="0034151C" w:rsidRDefault="00BB265E" w:rsidP="00FC69A8">
      <w:pPr>
        <w:spacing w:after="120"/>
        <w:ind w:firstLine="567"/>
        <w:jc w:val="both"/>
        <w:rPr>
          <w:sz w:val="28"/>
          <w:szCs w:val="28"/>
          <w:lang w:val="pt-BR"/>
        </w:rPr>
      </w:pPr>
      <w:r>
        <w:rPr>
          <w:sz w:val="28"/>
          <w:szCs w:val="28"/>
          <w:lang w:val="pt-BR"/>
        </w:rPr>
        <w:t>- P</w:t>
      </w:r>
      <w:r w:rsidR="00FC69A8" w:rsidRPr="0034151C">
        <w:rPr>
          <w:sz w:val="28"/>
          <w:szCs w:val="28"/>
          <w:lang w:val="pt-BR"/>
        </w:rPr>
        <w:t xml:space="preserve">hối hợp với US DOE tổ chức Hội thảo xây dựng Kế hoạch ứng phó sự cố mất an ninh tại Đà Lạt nhằm giúp Viện Nghiên cứu hạt nhân xây dựng Kế hoạch ứng phó sự cố an ninh của Viện và để làm cơ sở giúp Cục xây dựng văn bản hướng dẫn xây dựng Kế hoạch ứng phó sự cố mất an ninh cho cơ sở hạt nhân, trong đó có cả nhà máy điện hạt nhân, phục vụ chương trình điện hạt nhân. Phối hợp với Bộ Công an tổ chức Cuộc họp điều phối giữa Bộ Công an và IAEA về việc chuẩn bị cho bảo đảm an ninh hạt nhân trong Lễ hội Đền Hùng năm 2016 từ ngày 16-17/03/2015. </w:t>
      </w:r>
    </w:p>
    <w:p w:rsidR="00FC69A8" w:rsidRPr="0034151C" w:rsidRDefault="00FC69A8" w:rsidP="00FC69A8">
      <w:pPr>
        <w:spacing w:after="120"/>
        <w:ind w:firstLine="567"/>
        <w:jc w:val="both"/>
        <w:rPr>
          <w:sz w:val="28"/>
          <w:szCs w:val="28"/>
          <w:lang w:val="pt-BR"/>
        </w:rPr>
      </w:pPr>
      <w:r w:rsidRPr="0034151C">
        <w:rPr>
          <w:sz w:val="28"/>
          <w:szCs w:val="28"/>
          <w:lang w:val="pt-BR"/>
        </w:rPr>
        <w:t>- Cử cán bộ tham gia giảng bài cho Hội thảo về nâng cao nhận thức về an ninh hạt nhân cho các cán bộ cao cấp của Lào theo đề nghị của IAEA.</w:t>
      </w:r>
    </w:p>
    <w:p w:rsidR="00FC69A8" w:rsidRPr="0034151C" w:rsidRDefault="00BB265E" w:rsidP="00FC69A8">
      <w:pPr>
        <w:spacing w:after="120"/>
        <w:ind w:firstLine="567"/>
        <w:jc w:val="both"/>
        <w:rPr>
          <w:sz w:val="28"/>
          <w:szCs w:val="28"/>
          <w:lang w:val="pt-BR"/>
        </w:rPr>
      </w:pPr>
      <w:r>
        <w:rPr>
          <w:sz w:val="28"/>
          <w:szCs w:val="28"/>
          <w:lang w:val="pt-BR"/>
        </w:rPr>
        <w:t>- C</w:t>
      </w:r>
      <w:r w:rsidR="00FC69A8" w:rsidRPr="0034151C">
        <w:rPr>
          <w:sz w:val="28"/>
          <w:szCs w:val="28"/>
          <w:lang w:val="pt-BR"/>
        </w:rPr>
        <w:t xml:space="preserve">hủ trì nghiên cứu và có các </w:t>
      </w:r>
      <w:r w:rsidR="00FC69A8" w:rsidRPr="0034151C">
        <w:rPr>
          <w:rFonts w:hint="eastAsia"/>
          <w:sz w:val="28"/>
          <w:szCs w:val="28"/>
          <w:lang w:val="pt-BR"/>
        </w:rPr>
        <w:t>đ</w:t>
      </w:r>
      <w:r w:rsidR="00FC69A8" w:rsidRPr="0034151C">
        <w:rPr>
          <w:sz w:val="28"/>
          <w:szCs w:val="28"/>
          <w:lang w:val="pt-BR"/>
        </w:rPr>
        <w:t xml:space="preserve">ề xuất liên quan </w:t>
      </w:r>
      <w:r w:rsidR="00FC69A8" w:rsidRPr="0034151C">
        <w:rPr>
          <w:rFonts w:hint="eastAsia"/>
          <w:sz w:val="28"/>
          <w:szCs w:val="28"/>
          <w:lang w:val="pt-BR"/>
        </w:rPr>
        <w:t>đ</w:t>
      </w:r>
      <w:r w:rsidR="00FC69A8" w:rsidRPr="0034151C">
        <w:rPr>
          <w:sz w:val="28"/>
          <w:szCs w:val="28"/>
          <w:lang w:val="pt-BR"/>
        </w:rPr>
        <w:t>ến các cuộc họp cấp cao và cấp chuyên gia nhằm chuẩn bị cho Hội nghị thượng đỉnh An ninh hạt nhân sẽ được tổ chức vào năm 2016.</w:t>
      </w:r>
    </w:p>
    <w:p w:rsidR="00FC69A8" w:rsidRPr="0034151C" w:rsidRDefault="00FC69A8" w:rsidP="00FC69A8">
      <w:pPr>
        <w:spacing w:after="120"/>
        <w:ind w:firstLine="567"/>
        <w:jc w:val="both"/>
        <w:rPr>
          <w:b/>
          <w:color w:val="0000FF"/>
          <w:sz w:val="28"/>
          <w:szCs w:val="28"/>
          <w:lang w:val="nl-NL"/>
        </w:rPr>
      </w:pPr>
      <w:r w:rsidRPr="0034151C">
        <w:rPr>
          <w:b/>
          <w:color w:val="0000FF"/>
          <w:sz w:val="28"/>
          <w:szCs w:val="28"/>
          <w:lang w:val="nl-NL"/>
        </w:rPr>
        <w:t>ii) Thanh sát hạt nhân</w:t>
      </w:r>
    </w:p>
    <w:p w:rsidR="00FC69A8" w:rsidRPr="0034151C" w:rsidRDefault="00FC69A8" w:rsidP="00FC69A8">
      <w:pPr>
        <w:spacing w:after="120"/>
        <w:ind w:firstLine="567"/>
        <w:jc w:val="both"/>
        <w:rPr>
          <w:sz w:val="28"/>
          <w:szCs w:val="28"/>
          <w:lang w:val="nl-NL"/>
        </w:rPr>
      </w:pPr>
      <w:r w:rsidRPr="0034151C">
        <w:rPr>
          <w:sz w:val="28"/>
          <w:szCs w:val="28"/>
          <w:lang w:val="nl-NL"/>
        </w:rPr>
        <w:t>- Tháng 5/2015, IAEA đã có “Kết luận mở rộng” đối với Việt Nam và trình Hội đồng Thống đốc IAEA</w:t>
      </w:r>
      <w:r w:rsidRPr="0034151C">
        <w:rPr>
          <w:rFonts w:eastAsia="Calibri"/>
          <w:noProof/>
          <w:sz w:val="28"/>
          <w:szCs w:val="28"/>
          <w:lang w:val="nl-NL"/>
        </w:rPr>
        <w:t xml:space="preserve">. </w:t>
      </w:r>
      <w:r w:rsidRPr="0034151C">
        <w:rPr>
          <w:sz w:val="28"/>
          <w:szCs w:val="28"/>
          <w:lang w:val="nl-NL"/>
        </w:rPr>
        <w:t xml:space="preserve">Thực hiện Hiệp định thanh sát, Cục đã xây dựng và gửi IAEA đúng thời hạn các báo cáo kế toán vật liệu hạt nhân năm 2015; </w:t>
      </w:r>
    </w:p>
    <w:p w:rsidR="00FC69A8" w:rsidRPr="0034151C" w:rsidRDefault="00FC69A8" w:rsidP="00FC69A8">
      <w:pPr>
        <w:spacing w:after="120"/>
        <w:ind w:firstLine="567"/>
        <w:jc w:val="both"/>
        <w:rPr>
          <w:sz w:val="28"/>
          <w:szCs w:val="28"/>
          <w:lang w:val="nl-NL"/>
        </w:rPr>
      </w:pPr>
      <w:r w:rsidRPr="0034151C">
        <w:rPr>
          <w:sz w:val="28"/>
          <w:szCs w:val="28"/>
          <w:lang w:val="nl-NL"/>
        </w:rPr>
        <w:t xml:space="preserve">- Đã cùng </w:t>
      </w:r>
      <w:r>
        <w:rPr>
          <w:sz w:val="28"/>
          <w:szCs w:val="28"/>
          <w:lang w:val="nl-NL"/>
        </w:rPr>
        <w:t xml:space="preserve">với </w:t>
      </w:r>
      <w:r w:rsidRPr="0034151C">
        <w:rPr>
          <w:sz w:val="28"/>
          <w:szCs w:val="28"/>
          <w:lang w:val="nl-NL"/>
        </w:rPr>
        <w:t>thanh sát viên của IAEA thực hiện thanh sát định kỳ tại Lò phản ứng Đà Lạt (16/10/2015).</w:t>
      </w:r>
    </w:p>
    <w:p w:rsidR="00FC69A8" w:rsidRPr="0034151C" w:rsidRDefault="00FC69A8" w:rsidP="00FC69A8">
      <w:pPr>
        <w:spacing w:after="120"/>
        <w:ind w:firstLine="567"/>
        <w:jc w:val="both"/>
        <w:rPr>
          <w:sz w:val="28"/>
          <w:szCs w:val="28"/>
          <w:lang w:val="nl-NL"/>
        </w:rPr>
      </w:pPr>
      <w:r w:rsidRPr="0034151C">
        <w:rPr>
          <w:sz w:val="28"/>
          <w:szCs w:val="28"/>
          <w:lang w:val="nl-NL"/>
        </w:rPr>
        <w:t>- Đã tiến hành các thủ tục chấm dứt thanh sát cho lượng Thori (khoảng 5kg) đã sử dụng làm lưới xuất đi Nhật bản của Viện Công nghệ Xạ hiếm và đã được IAEA chấp nhận, tạo điều kiện thuận lợi cho cơ sở hoạt động.</w:t>
      </w:r>
    </w:p>
    <w:p w:rsidR="00FC69A8" w:rsidRPr="0034151C" w:rsidRDefault="00FC69A8" w:rsidP="00FC69A8">
      <w:pPr>
        <w:spacing w:after="120"/>
        <w:ind w:firstLine="567"/>
        <w:jc w:val="both"/>
        <w:rPr>
          <w:b/>
          <w:color w:val="0000FF"/>
          <w:sz w:val="28"/>
          <w:szCs w:val="28"/>
          <w:lang w:val="nl-NL"/>
        </w:rPr>
      </w:pPr>
      <w:r w:rsidRPr="0034151C">
        <w:rPr>
          <w:b/>
          <w:color w:val="0000FF"/>
          <w:sz w:val="28"/>
          <w:szCs w:val="28"/>
          <w:lang w:val="nl-NL"/>
        </w:rPr>
        <w:t>(iii). Thực hiện Nghị định thư bổ sung (AP):</w:t>
      </w:r>
    </w:p>
    <w:p w:rsidR="00FC69A8" w:rsidRPr="0034151C" w:rsidRDefault="00BB265E" w:rsidP="00FC69A8">
      <w:pPr>
        <w:spacing w:after="120"/>
        <w:ind w:firstLine="567"/>
        <w:jc w:val="both"/>
        <w:rPr>
          <w:sz w:val="28"/>
          <w:szCs w:val="28"/>
          <w:lang w:val="nl-NL"/>
        </w:rPr>
      </w:pPr>
      <w:r>
        <w:rPr>
          <w:sz w:val="28"/>
          <w:szCs w:val="28"/>
          <w:lang w:val="nl-NL"/>
        </w:rPr>
        <w:t>- Đ</w:t>
      </w:r>
      <w:r w:rsidR="00FC69A8" w:rsidRPr="0034151C">
        <w:rPr>
          <w:sz w:val="28"/>
          <w:szCs w:val="28"/>
          <w:lang w:val="nl-NL"/>
        </w:rPr>
        <w:t xml:space="preserve">ã hướng dẫn các cơ sở khai báo định kỳ, trên cơ sở đó xây dựng khai báo quốc gia. Đến nay, tổng cộng đã có 54 khai báo gửi cho IAEA đúng thời hạn; làm thủ tục và trực tiếp tham gia 02 tiếp cận bổ sung do IAEA thực hiện (tháng 5/2015 tại Viện Công nghệ Xạ Hiếm và tháng 10/2015 tại Viện Khoa học và Kỹ thuật hạt nhân), bảo đảm thực hiện nghĩa vụ của Việt Nam theo Nghị định thư bổ sung và được IAEA đánh giá tốt; mời thanh sát viên IAEA đến làm việc tại Trường Đại học Bách khoa </w:t>
      </w:r>
      <w:r w:rsidR="00FC69A8" w:rsidRPr="0034151C">
        <w:rPr>
          <w:sz w:val="28"/>
          <w:szCs w:val="28"/>
          <w:lang w:val="nl-NL"/>
        </w:rPr>
        <w:lastRenderedPageBreak/>
        <w:t xml:space="preserve">Hà Nội là cơ sở được giao trách nhiệm thực hiện đào tạo cho chương trình điện hạt nhân. </w:t>
      </w:r>
    </w:p>
    <w:p w:rsidR="00FC69A8" w:rsidRPr="0034151C" w:rsidRDefault="00FC69A8" w:rsidP="00FC69A8">
      <w:pPr>
        <w:spacing w:after="120"/>
        <w:ind w:firstLine="567"/>
        <w:jc w:val="both"/>
        <w:rPr>
          <w:sz w:val="28"/>
          <w:szCs w:val="28"/>
          <w:lang w:val="nl-NL"/>
        </w:rPr>
      </w:pPr>
      <w:r w:rsidRPr="0034151C">
        <w:rPr>
          <w:sz w:val="28"/>
          <w:szCs w:val="28"/>
          <w:lang w:val="nl-NL"/>
        </w:rPr>
        <w:t>- Tháng 01 và tháng 6/2015, đã làm việc với Chương trình Cam kết và thanh sát quốc tế của Bộ Năng lượng Hoa Kỳ (Chương trình INSEP) về Quản lý thông tin thanh sát nhằm từng bước cải thiện phần mềm quản lý các thông tin thanh sát do Cục xây dựng để bảo đảm các báo cáo kế toán do cơ sở cung cấp có chất lượng tốt.</w:t>
      </w:r>
    </w:p>
    <w:p w:rsidR="00FC69A8" w:rsidRPr="0034151C" w:rsidRDefault="00FC69A8" w:rsidP="00FC69A8">
      <w:pPr>
        <w:spacing w:after="120"/>
        <w:ind w:firstLine="567"/>
        <w:jc w:val="both"/>
        <w:rPr>
          <w:sz w:val="28"/>
          <w:szCs w:val="28"/>
          <w:lang w:val="pt-BR"/>
        </w:rPr>
      </w:pPr>
      <w:r w:rsidRPr="0034151C">
        <w:rPr>
          <w:sz w:val="28"/>
          <w:szCs w:val="28"/>
          <w:lang w:val="pt-BR"/>
        </w:rPr>
        <w:t xml:space="preserve">- Chủ trì, phối hợp với US DOE tổ chức Hội thảo phổ biến thông tin về AP vào tháng 4/2015 cho Trường Đại học Bách Khoa Thành phố Hồ Chí Minh. </w:t>
      </w:r>
    </w:p>
    <w:p w:rsidR="00FC69A8" w:rsidRPr="00FC69A8" w:rsidRDefault="00FC69A8" w:rsidP="00BB265E">
      <w:pPr>
        <w:spacing w:after="120"/>
        <w:ind w:firstLine="567"/>
        <w:jc w:val="both"/>
        <w:rPr>
          <w:sz w:val="28"/>
          <w:szCs w:val="28"/>
          <w:lang w:val="pt-BR"/>
        </w:rPr>
      </w:pPr>
      <w:r w:rsidRPr="0034151C">
        <w:rPr>
          <w:sz w:val="28"/>
          <w:szCs w:val="28"/>
          <w:lang w:val="pt-BR"/>
        </w:rPr>
        <w:t>- Duy trì kênh thông tin bảo mật, bảo đảm việc trao đổi thông tin giữa Cục và IAEA kịp thời.</w:t>
      </w:r>
    </w:p>
    <w:p w:rsidR="005A7091" w:rsidRPr="0034151C" w:rsidRDefault="00371BED" w:rsidP="00BC5088">
      <w:pPr>
        <w:widowControl w:val="0"/>
        <w:autoSpaceDE w:val="0"/>
        <w:autoSpaceDN w:val="0"/>
        <w:spacing w:after="120"/>
        <w:ind w:firstLine="567"/>
        <w:jc w:val="both"/>
        <w:rPr>
          <w:b/>
          <w:color w:val="0000FF"/>
          <w:sz w:val="28"/>
          <w:szCs w:val="28"/>
          <w:lang w:val="pt-BR"/>
        </w:rPr>
      </w:pPr>
      <w:r>
        <w:rPr>
          <w:rFonts w:eastAsia="Batang"/>
          <w:b/>
          <w:color w:val="0000FF"/>
          <w:kern w:val="2"/>
          <w:sz w:val="28"/>
          <w:szCs w:val="28"/>
          <w:lang w:val="pt-BR" w:eastAsia="ko-KR"/>
        </w:rPr>
        <w:t>2</w:t>
      </w:r>
      <w:r w:rsidR="00495256" w:rsidRPr="0034151C">
        <w:rPr>
          <w:rFonts w:eastAsia="Batang"/>
          <w:b/>
          <w:color w:val="0000FF"/>
          <w:kern w:val="2"/>
          <w:sz w:val="28"/>
          <w:szCs w:val="28"/>
          <w:lang w:val="pt-BR" w:eastAsia="ko-KR"/>
        </w:rPr>
        <w:t>.</w:t>
      </w:r>
      <w:r w:rsidR="00BB265E">
        <w:rPr>
          <w:rFonts w:eastAsia="Batang"/>
          <w:b/>
          <w:color w:val="0000FF"/>
          <w:kern w:val="2"/>
          <w:sz w:val="28"/>
          <w:szCs w:val="28"/>
          <w:lang w:val="pt-BR" w:eastAsia="ko-KR"/>
        </w:rPr>
        <w:t>5</w:t>
      </w:r>
      <w:r w:rsidR="00400D16" w:rsidRPr="0034151C">
        <w:rPr>
          <w:rFonts w:eastAsia="Batang"/>
          <w:b/>
          <w:color w:val="0000FF"/>
          <w:kern w:val="2"/>
          <w:sz w:val="28"/>
          <w:szCs w:val="28"/>
          <w:lang w:val="pt-BR" w:eastAsia="ko-KR"/>
        </w:rPr>
        <w:t>.</w:t>
      </w:r>
      <w:r w:rsidR="005A7091" w:rsidRPr="0034151C">
        <w:rPr>
          <w:b/>
          <w:color w:val="0000FF"/>
          <w:sz w:val="28"/>
          <w:szCs w:val="28"/>
          <w:lang w:val="pt-BR"/>
        </w:rPr>
        <w:t xml:space="preserve"> Công tác về điều ước quốc tế</w:t>
      </w:r>
    </w:p>
    <w:p w:rsidR="005A7091" w:rsidRPr="0034151C" w:rsidRDefault="00BB265E" w:rsidP="00727305">
      <w:pPr>
        <w:spacing w:after="120"/>
        <w:ind w:firstLine="567"/>
        <w:jc w:val="both"/>
        <w:rPr>
          <w:sz w:val="28"/>
          <w:szCs w:val="28"/>
          <w:lang w:val="pt-BR"/>
        </w:rPr>
      </w:pPr>
      <w:r>
        <w:rPr>
          <w:sz w:val="28"/>
          <w:szCs w:val="28"/>
          <w:lang w:val="pt-BR"/>
        </w:rPr>
        <w:t>- T</w:t>
      </w:r>
      <w:r w:rsidR="005A7091" w:rsidRPr="0034151C">
        <w:rPr>
          <w:sz w:val="28"/>
          <w:szCs w:val="28"/>
          <w:lang w:val="pt-BR"/>
        </w:rPr>
        <w:t>hành lập Tổ công tác liên Bộ về điều ước quốc tế trong lĩnh vực hạt nhân trong giai đoạn mới; họp phiên đầu tiên để thảo luận về đề xuất tham gia Công ước quốc tế về ngăn chặn hàn</w:t>
      </w:r>
      <w:r w:rsidR="00FF40CF">
        <w:rPr>
          <w:sz w:val="28"/>
          <w:szCs w:val="28"/>
          <w:lang w:val="pt-BR"/>
        </w:rPr>
        <w:t xml:space="preserve">h động khủng bố hạt nhân và </w:t>
      </w:r>
      <w:r w:rsidR="005A7091" w:rsidRPr="0034151C">
        <w:rPr>
          <w:sz w:val="28"/>
          <w:szCs w:val="28"/>
          <w:lang w:val="pt-BR"/>
        </w:rPr>
        <w:t>Công ước về bồi thường thiệt hại hạt nhân.</w:t>
      </w:r>
    </w:p>
    <w:p w:rsidR="005A7091" w:rsidRPr="0034151C" w:rsidRDefault="005A7091" w:rsidP="00727305">
      <w:pPr>
        <w:spacing w:after="120"/>
        <w:ind w:firstLine="567"/>
        <w:jc w:val="both"/>
        <w:rPr>
          <w:sz w:val="28"/>
          <w:szCs w:val="28"/>
          <w:lang w:val="pt-BR"/>
        </w:rPr>
      </w:pPr>
      <w:r w:rsidRPr="0034151C">
        <w:rPr>
          <w:sz w:val="28"/>
          <w:szCs w:val="28"/>
          <w:lang w:val="pt-BR"/>
        </w:rPr>
        <w:t xml:space="preserve">- Cục đã tổ chức dịch sang tiếng Việt Bản Dàn xếp Hành chính của Hiệp định hợp tác với Hoa Kỳ về sử dụng hòa bình năng lượng hạt nhân (Hiệp định 123) phục vụ ký chính thức và gửi xin ý kiến các bộ liên quan trước khi trình Thủ tướng Chính phủ cũng như đã có ý kiến yêu cầu phía Hoa Kỳ làm rõ một số vấn đề để báo cáo Lãnh đạo Bộ. </w:t>
      </w:r>
    </w:p>
    <w:p w:rsidR="005A7091" w:rsidRPr="0034151C" w:rsidRDefault="005A7091" w:rsidP="00727305">
      <w:pPr>
        <w:spacing w:after="120"/>
        <w:ind w:firstLine="567"/>
        <w:jc w:val="both"/>
        <w:rPr>
          <w:sz w:val="28"/>
          <w:szCs w:val="28"/>
          <w:lang w:val="pt-BR"/>
        </w:rPr>
      </w:pPr>
      <w:r w:rsidRPr="0034151C">
        <w:rPr>
          <w:sz w:val="28"/>
          <w:szCs w:val="28"/>
          <w:lang w:val="pt-BR"/>
        </w:rPr>
        <w:t>- Về việc thực hiện nghĩa vụ theo quy định của Công ước chung về An toàn quản lý nhiên liệu đã qua sử dụng và An toàn quản lý chất thải phóng xạ: Cục là đầu mối nghiên cứu báo cáo quốc gia của Nga, Nhật Bản và Trung Quốc để đặt câu hỏi cho các nước này cũng như nghiên cứu và trả lời câu hỏi của các quốc gia khác đặt cho Việt Nam (44 câu hỏi). Câu hỏi và trả lời đã được đưa lên trang web của IAEA đúng thời hạn.</w:t>
      </w:r>
    </w:p>
    <w:p w:rsidR="005A7091" w:rsidRDefault="005A7091" w:rsidP="00727305">
      <w:pPr>
        <w:spacing w:after="120"/>
        <w:ind w:firstLine="567"/>
        <w:jc w:val="both"/>
        <w:rPr>
          <w:sz w:val="28"/>
          <w:szCs w:val="28"/>
          <w:lang w:val="pt-BR"/>
        </w:rPr>
      </w:pPr>
      <w:r w:rsidRPr="0034151C">
        <w:rPr>
          <w:sz w:val="28"/>
          <w:szCs w:val="28"/>
          <w:lang w:val="pt-BR"/>
        </w:rPr>
        <w:t>- Nghiên cứu và thực hiện Hiệp ước Cấm thử vũ khí hạt nhân toàn diện: đã tìm hiểu tài liệu khai thác sử dụng phần mềm của CTBTO để phục vụ công tác nâng cao năng lực của NDC - Trung tâm dữ liệu quốc gia; Truy cập số liệu của CTBTO về hạt nhân phóng xạ cho hoạt động khai thác số liệu của CTBTO; Tích lũy kinh nghiệm truy cập số liệu thô về hạt nhân phóng xạ (số liệu chưa xử lý), số liệu khí tượng dùng cho phần mềm mô hình vận chuyển khí quyển từ Trung tâm dữ liệu quốc tế của CTBTO nhằm xây dựng quy trình tải số liệu thô phục vụ công việc kiểm chứng Hiệp ước CTBT; Nâng cao kỹ năng xử lý số liệu hạt nhân phóng xạ thông qua các công việc thực hành xử lý các phổ gamma trong cơ sở dữ liệu của CTBTO</w:t>
      </w:r>
      <w:r w:rsidR="00EF5A85" w:rsidRPr="0034151C">
        <w:rPr>
          <w:sz w:val="28"/>
          <w:szCs w:val="28"/>
          <w:lang w:val="pt-BR"/>
        </w:rPr>
        <w:t>.</w:t>
      </w:r>
      <w:r w:rsidRPr="0034151C">
        <w:rPr>
          <w:i/>
          <w:sz w:val="28"/>
          <w:szCs w:val="28"/>
          <w:lang w:val="pt-BR"/>
        </w:rPr>
        <w:t xml:space="preserve"> </w:t>
      </w:r>
    </w:p>
    <w:p w:rsidR="00BB265E" w:rsidRPr="0034151C" w:rsidRDefault="00BB265E" w:rsidP="00BB265E">
      <w:pPr>
        <w:spacing w:after="120"/>
        <w:ind w:firstLine="567"/>
        <w:jc w:val="both"/>
        <w:rPr>
          <w:b/>
          <w:color w:val="0000FF"/>
          <w:sz w:val="28"/>
          <w:szCs w:val="28"/>
          <w:lang w:val="pt-BR"/>
        </w:rPr>
      </w:pPr>
      <w:r>
        <w:rPr>
          <w:b/>
          <w:color w:val="0000FF"/>
          <w:sz w:val="28"/>
          <w:szCs w:val="28"/>
          <w:lang w:val="nl-NL"/>
        </w:rPr>
        <w:t>2</w:t>
      </w:r>
      <w:r w:rsidRPr="0034151C">
        <w:rPr>
          <w:b/>
          <w:color w:val="0000FF"/>
          <w:sz w:val="28"/>
          <w:szCs w:val="28"/>
          <w:lang w:val="nl-NL"/>
        </w:rPr>
        <w:t>.</w:t>
      </w:r>
      <w:r>
        <w:rPr>
          <w:b/>
          <w:color w:val="0000FF"/>
          <w:sz w:val="28"/>
          <w:szCs w:val="28"/>
          <w:lang w:val="nl-NL"/>
        </w:rPr>
        <w:t>6</w:t>
      </w:r>
      <w:r w:rsidRPr="0034151C">
        <w:rPr>
          <w:b/>
          <w:color w:val="0000FF"/>
          <w:sz w:val="28"/>
          <w:szCs w:val="28"/>
          <w:lang w:val="vi-VN"/>
        </w:rPr>
        <w:t xml:space="preserve">. </w:t>
      </w:r>
      <w:r w:rsidRPr="0034151C">
        <w:rPr>
          <w:b/>
          <w:color w:val="0000FF"/>
          <w:sz w:val="28"/>
          <w:szCs w:val="28"/>
          <w:lang w:val="pt-BR"/>
        </w:rPr>
        <w:t>Hoạt động hợp tác quốc tế</w:t>
      </w:r>
    </w:p>
    <w:p w:rsidR="00BB265E" w:rsidRPr="0034151C" w:rsidRDefault="00BB265E" w:rsidP="00BB265E">
      <w:pPr>
        <w:spacing w:after="120"/>
        <w:ind w:firstLine="567"/>
        <w:jc w:val="both"/>
        <w:rPr>
          <w:sz w:val="28"/>
          <w:szCs w:val="28"/>
          <w:lang w:val="pt-BR"/>
        </w:rPr>
      </w:pPr>
      <w:r w:rsidRPr="0034151C">
        <w:rPr>
          <w:sz w:val="28"/>
          <w:szCs w:val="28"/>
          <w:lang w:val="pt-BR"/>
        </w:rPr>
        <w:t>-  Hoàn thành việc xây dựng Khung dự án hợp tác kỹ thuật với IAEA tài khóa 2016-2017: Tăng cường cơ sở hạ tầng an toàn và an ninh hạt nhân cho giai đoạn xây dựng NMĐHN đầu tiên. Bản thiết kế chi tiết đã được hoàn thiện theo góp ý của chuyên gia IAEA và cập nhật trên hệ thống của IAEA theo đúng thời hạn.</w:t>
      </w:r>
    </w:p>
    <w:p w:rsidR="00BB265E" w:rsidRPr="0034151C" w:rsidRDefault="00BB265E" w:rsidP="00BB265E">
      <w:pPr>
        <w:spacing w:after="120"/>
        <w:ind w:firstLine="567"/>
        <w:jc w:val="both"/>
        <w:rPr>
          <w:sz w:val="28"/>
          <w:szCs w:val="28"/>
          <w:lang w:val="pt-BR"/>
        </w:rPr>
      </w:pPr>
      <w:r w:rsidRPr="0034151C">
        <w:rPr>
          <w:b/>
          <w:sz w:val="28"/>
          <w:szCs w:val="28"/>
          <w:lang w:val="pt-BR"/>
        </w:rPr>
        <w:t xml:space="preserve">- </w:t>
      </w:r>
      <w:r w:rsidRPr="0034151C">
        <w:rPr>
          <w:sz w:val="28"/>
          <w:szCs w:val="28"/>
          <w:lang w:val="pt-BR"/>
        </w:rPr>
        <w:t xml:space="preserve"> Xây dựng kế hoạch và triển khai thành công các hoạt động trong khuôn khổ Dự án VIE9015 (giai đoạn 2014-2015);</w:t>
      </w:r>
    </w:p>
    <w:p w:rsidR="00BB265E" w:rsidRPr="0034151C" w:rsidRDefault="00BB265E" w:rsidP="00BB265E">
      <w:pPr>
        <w:spacing w:after="120"/>
        <w:ind w:firstLine="567"/>
        <w:jc w:val="both"/>
        <w:rPr>
          <w:sz w:val="28"/>
          <w:szCs w:val="28"/>
          <w:lang w:val="pt-BR"/>
        </w:rPr>
      </w:pPr>
      <w:r w:rsidRPr="0034151C">
        <w:rPr>
          <w:sz w:val="28"/>
          <w:szCs w:val="28"/>
          <w:lang w:val="pt-BR"/>
        </w:rPr>
        <w:lastRenderedPageBreak/>
        <w:t>- Điều phối và triển khai thực hiện 04 dự án hợp tác quốc tế tiêu biểu: Dự án hợp tác với EC VN3.01/09 “Hỗ trợ kỹ thuật nâng cao khung pháp lý về an toàn hạt nhân và tăng cường năng lực cho Cơ quan pháp quy của Việt Nam và Tổ chức hỗ trợ kỹ thuật của Cơ quan pháp quy”, Dự án hợp tác với DOE/NNSA về quản lý sự cố bức xạ hạt nhân và năng lực ứng phó sự cố, Dự án hợp tác với USDOE/NNSA về tăng cường an ninh của các nguồn phóng xạ có hoạt độ cao tại Việt Nam, Dự án Thí điểm Pilot Progam về tăng cường năng lực đánh giá và thẩm định an toàn hạt nhân. Các dự án này được các đối tác đánh giá cao, đặc biệt là dự án hợp tác với EC VN3.01/09 đã kết thúc vào tháng 5/2015 và được EU quyết định tài trợ kinh phí cho triển khai Dự án tiếp theo VN3.01/13.</w:t>
      </w:r>
    </w:p>
    <w:p w:rsidR="00BB265E" w:rsidRPr="0034151C" w:rsidRDefault="00BB265E" w:rsidP="00BB265E">
      <w:pPr>
        <w:spacing w:after="120"/>
        <w:ind w:firstLine="567"/>
        <w:jc w:val="both"/>
        <w:rPr>
          <w:sz w:val="28"/>
          <w:szCs w:val="28"/>
          <w:lang w:val="pt-BR"/>
        </w:rPr>
      </w:pPr>
      <w:r w:rsidRPr="0034151C">
        <w:rPr>
          <w:sz w:val="28"/>
          <w:szCs w:val="28"/>
          <w:lang w:val="pt-BR"/>
        </w:rPr>
        <w:t xml:space="preserve">- Đàm phán và ký Biên bản hợp tác với các đối tác nhằm tăng cường và mở rộng phạm vi hợp tác của Cục: i) Bản ghi nhớ hợp tác với Cơ quan pháp quy hat nhân Hàn Quốc; ii) Bản ghi nhớ (MOU) với Công ty GE-Hitachi của Hoa Kỳ; iii) Thỏa thuận Bảo mật thông tin với Công ty Điện Westinghouse của Hoa Kỳ; </w:t>
      </w:r>
    </w:p>
    <w:p w:rsidR="00BB265E" w:rsidRPr="0034151C" w:rsidRDefault="00BB265E" w:rsidP="00BB265E">
      <w:pPr>
        <w:spacing w:after="120"/>
        <w:ind w:firstLine="567"/>
        <w:jc w:val="both"/>
        <w:rPr>
          <w:sz w:val="28"/>
          <w:szCs w:val="28"/>
          <w:lang w:val="pt-BR"/>
        </w:rPr>
      </w:pPr>
      <w:r w:rsidRPr="0034151C">
        <w:rPr>
          <w:sz w:val="28"/>
          <w:szCs w:val="28"/>
          <w:lang w:val="pt-BR"/>
        </w:rPr>
        <w:t>- Tổ chức thành công 17 hội nghị, hội thảo và khóa tập huấn;</w:t>
      </w:r>
    </w:p>
    <w:p w:rsidR="00BB265E" w:rsidRPr="0034151C" w:rsidRDefault="00BB265E" w:rsidP="00BB265E">
      <w:pPr>
        <w:spacing w:after="120"/>
        <w:ind w:firstLine="567"/>
        <w:jc w:val="both"/>
        <w:rPr>
          <w:sz w:val="28"/>
          <w:szCs w:val="28"/>
          <w:lang w:val="pt-BR"/>
        </w:rPr>
      </w:pPr>
      <w:r w:rsidRPr="0034151C">
        <w:rPr>
          <w:sz w:val="28"/>
          <w:szCs w:val="28"/>
          <w:lang w:val="pt-BR"/>
        </w:rPr>
        <w:t xml:space="preserve">- Làm thủ tục và chủ trì tổ chức đón tiếp 29 đoàn chuyên gia – khoảng gần 200 lượt chuyên gia, trong đó đặc biệt là Đoàn chuyên gia tham dự Hội nghị pháp quy hạt nhân lần thứ hai tại Đà Lạt từ 19-21/5/2015 ; </w:t>
      </w:r>
    </w:p>
    <w:p w:rsidR="00BB265E" w:rsidRPr="00BB265E" w:rsidRDefault="00BB265E" w:rsidP="00BB265E">
      <w:pPr>
        <w:spacing w:after="120"/>
        <w:ind w:firstLine="567"/>
        <w:jc w:val="both"/>
        <w:rPr>
          <w:b/>
          <w:sz w:val="28"/>
          <w:szCs w:val="28"/>
          <w:lang w:val="nl-NL"/>
        </w:rPr>
      </w:pPr>
      <w:r w:rsidRPr="0034151C">
        <w:rPr>
          <w:sz w:val="28"/>
          <w:szCs w:val="28"/>
          <w:lang w:val="pt-BR"/>
        </w:rPr>
        <w:tab/>
        <w:t>- Tư vấn và làm thủ tục cho hơn 324 lượt cán bộ đi công tác nước ngoài, trong đó có những đoàn ra đặc biệt quan trọng của Lãnh đạo Cục như: Đoàn cán bộ cấp cao làm việc với Vụ Pháp luật của IAEA về sửa đổi Luật Năng lượng nguyên tử 2008 (26-30/1/2015), Đoàn Cục trưởng tham dự Hội nghị về Xây dựng cơ sở hạ tầng điện hạt nhân tại Viên, Áo (2-6/2/2015); Đoàn tham dự Hội nghị rà soát Công ước chung lần thứ 5; v.v..</w:t>
      </w:r>
    </w:p>
    <w:p w:rsidR="00BD273E" w:rsidRPr="0034151C" w:rsidRDefault="00371BED" w:rsidP="00727305">
      <w:pPr>
        <w:tabs>
          <w:tab w:val="num" w:pos="1134"/>
        </w:tabs>
        <w:spacing w:after="120"/>
        <w:ind w:firstLine="567"/>
        <w:jc w:val="both"/>
        <w:rPr>
          <w:b/>
          <w:color w:val="0000FF"/>
          <w:sz w:val="28"/>
          <w:szCs w:val="28"/>
          <w:lang w:val="de-DE"/>
        </w:rPr>
      </w:pPr>
      <w:r>
        <w:rPr>
          <w:b/>
          <w:color w:val="0000FF"/>
          <w:sz w:val="28"/>
          <w:szCs w:val="28"/>
          <w:lang w:val="de-DE"/>
        </w:rPr>
        <w:t>2</w:t>
      </w:r>
      <w:r w:rsidR="00BD273E" w:rsidRPr="0034151C">
        <w:rPr>
          <w:b/>
          <w:color w:val="0000FF"/>
          <w:sz w:val="28"/>
          <w:szCs w:val="28"/>
          <w:lang w:val="de-DE"/>
        </w:rPr>
        <w:t>.</w:t>
      </w:r>
      <w:r w:rsidR="00BB265E">
        <w:rPr>
          <w:b/>
          <w:color w:val="0000FF"/>
          <w:sz w:val="28"/>
          <w:szCs w:val="28"/>
          <w:lang w:val="de-DE"/>
        </w:rPr>
        <w:t>7</w:t>
      </w:r>
      <w:r w:rsidR="00BD273E" w:rsidRPr="0034151C">
        <w:rPr>
          <w:b/>
          <w:color w:val="0000FF"/>
          <w:sz w:val="28"/>
          <w:szCs w:val="28"/>
          <w:lang w:val="de-DE"/>
        </w:rPr>
        <w:t xml:space="preserve">. Hoạt động thông tin - tuyên truyền </w:t>
      </w:r>
    </w:p>
    <w:p w:rsidR="00BD273E" w:rsidRPr="0034151C" w:rsidRDefault="00BD273E" w:rsidP="00727305">
      <w:pPr>
        <w:pStyle w:val="ListParagraph"/>
        <w:spacing w:after="120"/>
        <w:ind w:left="0" w:firstLine="567"/>
        <w:contextualSpacing w:val="0"/>
        <w:jc w:val="both"/>
        <w:rPr>
          <w:sz w:val="28"/>
          <w:szCs w:val="28"/>
          <w:lang w:val="de-DE"/>
        </w:rPr>
      </w:pPr>
      <w:r w:rsidRPr="0034151C">
        <w:rPr>
          <w:sz w:val="28"/>
          <w:szCs w:val="28"/>
          <w:lang w:val="de-DE"/>
        </w:rPr>
        <w:t xml:space="preserve">Nghiên cứu triển khai thí điểm Thư viện số để tiện lợi cho việc tra cứu thông tin và cập nhật các tài liệu Hội thảo, Khoá đào tạo </w:t>
      </w:r>
      <w:r w:rsidR="00136251" w:rsidRPr="0034151C">
        <w:rPr>
          <w:sz w:val="28"/>
          <w:szCs w:val="28"/>
          <w:lang w:val="de-DE"/>
        </w:rPr>
        <w:t xml:space="preserve">về ATBXHN và NLNT; </w:t>
      </w:r>
      <w:r w:rsidRPr="0034151C">
        <w:rPr>
          <w:sz w:val="28"/>
          <w:szCs w:val="28"/>
          <w:lang w:val="de-DE"/>
        </w:rPr>
        <w:t xml:space="preserve">văn bản mới được ban hành trong lĩnh vực NLNT. </w:t>
      </w:r>
    </w:p>
    <w:p w:rsidR="00BC5088" w:rsidRPr="0034151C" w:rsidRDefault="00BD273E" w:rsidP="00727305">
      <w:pPr>
        <w:pStyle w:val="ListParagraph"/>
        <w:spacing w:after="120"/>
        <w:ind w:left="0" w:firstLine="567"/>
        <w:contextualSpacing w:val="0"/>
        <w:jc w:val="both"/>
        <w:rPr>
          <w:sz w:val="28"/>
          <w:szCs w:val="28"/>
          <w:lang w:val="de-DE"/>
        </w:rPr>
      </w:pPr>
      <w:r w:rsidRPr="0034151C">
        <w:rPr>
          <w:sz w:val="28"/>
          <w:szCs w:val="28"/>
          <w:lang w:val="de-DE"/>
        </w:rPr>
        <w:t xml:space="preserve">Xây dựng và xuất bản Báo cáo </w:t>
      </w:r>
      <w:r w:rsidR="00FC2087" w:rsidRPr="0034151C">
        <w:rPr>
          <w:sz w:val="28"/>
          <w:szCs w:val="28"/>
          <w:lang w:val="de-DE"/>
        </w:rPr>
        <w:t>Quốc gia</w:t>
      </w:r>
      <w:r w:rsidR="00BC5088" w:rsidRPr="0034151C">
        <w:rPr>
          <w:sz w:val="28"/>
          <w:szCs w:val="28"/>
          <w:lang w:val="de-DE"/>
        </w:rPr>
        <w:t xml:space="preserve"> về công tác</w:t>
      </w:r>
      <w:r w:rsidRPr="0034151C">
        <w:rPr>
          <w:sz w:val="28"/>
          <w:szCs w:val="28"/>
          <w:lang w:val="de-DE"/>
        </w:rPr>
        <w:t xml:space="preserve"> quản lý nhà nước về ATBXHN</w:t>
      </w:r>
      <w:r w:rsidR="00BC5088" w:rsidRPr="0034151C">
        <w:rPr>
          <w:sz w:val="28"/>
          <w:szCs w:val="28"/>
          <w:lang w:val="de-DE"/>
        </w:rPr>
        <w:t xml:space="preserve">; </w:t>
      </w:r>
      <w:r w:rsidR="00BC5088" w:rsidRPr="0034151C">
        <w:rPr>
          <w:sz w:val="28"/>
          <w:szCs w:val="28"/>
          <w:lang w:val="pt-PT"/>
        </w:rPr>
        <w:t>Xây dựng và xuất bản Tập san Thông tin pháp quy hạt nhân (số 6,7,8,9) cung cấp thông tin cho bạn đọc về các hoạt động trong quản lý nhà nước về ATBXHN ở cấp trung ương và địa phương và các bài viết chuyên sâu của các chuyên gia lĩnh vực pháp quy hạt nhân.</w:t>
      </w:r>
    </w:p>
    <w:p w:rsidR="00136251" w:rsidRPr="0034151C" w:rsidRDefault="00BD273E" w:rsidP="00727305">
      <w:pPr>
        <w:pStyle w:val="ListParagraph"/>
        <w:spacing w:after="120"/>
        <w:ind w:left="0" w:firstLine="567"/>
        <w:contextualSpacing w:val="0"/>
        <w:jc w:val="both"/>
        <w:rPr>
          <w:sz w:val="28"/>
          <w:szCs w:val="28"/>
          <w:lang w:val="de-DE"/>
        </w:rPr>
      </w:pPr>
      <w:r w:rsidRPr="0034151C">
        <w:rPr>
          <w:sz w:val="28"/>
          <w:szCs w:val="28"/>
          <w:lang w:val="de-DE"/>
        </w:rPr>
        <w:t xml:space="preserve">Thường xuyên đăng tải trên website của Cục tin tức về các hoạt động của Cục, tin tức trong và ngoài nước trong lĩnh vực NLNT bằng cả tiếng Anh và tiếng Việt; Tính đến 31/10/2015, đã có gần 8 triệu lượt truy cập trang tin thông tin điện tử của Cục. </w:t>
      </w:r>
      <w:r w:rsidR="00136251" w:rsidRPr="0034151C">
        <w:rPr>
          <w:sz w:val="28"/>
          <w:szCs w:val="28"/>
          <w:lang w:val="pt-PT"/>
        </w:rPr>
        <w:t>Cung cấp cho Cổng thông tin của Bộ khoảng 70 tin (gấp 3 lần so với yêu cầu).</w:t>
      </w:r>
    </w:p>
    <w:p w:rsidR="00BD273E" w:rsidRPr="0034151C" w:rsidRDefault="009233B2" w:rsidP="00727305">
      <w:pPr>
        <w:tabs>
          <w:tab w:val="num" w:pos="1134"/>
        </w:tabs>
        <w:spacing w:after="120"/>
        <w:ind w:firstLine="567"/>
        <w:jc w:val="both"/>
        <w:rPr>
          <w:sz w:val="28"/>
          <w:szCs w:val="28"/>
          <w:lang w:val="de-DE"/>
        </w:rPr>
      </w:pPr>
      <w:r>
        <w:rPr>
          <w:sz w:val="28"/>
          <w:szCs w:val="28"/>
          <w:lang w:val="pt-PT"/>
        </w:rPr>
        <w:t>Tham gia hoạt động trong</w:t>
      </w:r>
      <w:r w:rsidR="00BD273E" w:rsidRPr="0034151C">
        <w:rPr>
          <w:sz w:val="28"/>
          <w:szCs w:val="28"/>
          <w:lang w:val="pt-PT"/>
        </w:rPr>
        <w:t xml:space="preserve"> Đề án thông tin tuyên truyền điện hạt nhân đến năm 2020 (Đề án 370) </w:t>
      </w:r>
      <w:r w:rsidR="00FC2087" w:rsidRPr="0034151C">
        <w:rPr>
          <w:sz w:val="28"/>
          <w:szCs w:val="28"/>
          <w:lang w:val="pt-PT"/>
        </w:rPr>
        <w:t xml:space="preserve">và </w:t>
      </w:r>
      <w:r w:rsidR="00BD273E" w:rsidRPr="0034151C">
        <w:rPr>
          <w:sz w:val="28"/>
          <w:szCs w:val="28"/>
          <w:lang w:val="pt-PT"/>
        </w:rPr>
        <w:t>lập kế hoạch tổng thể cho giai đoạn 2016-2020.</w:t>
      </w:r>
    </w:p>
    <w:p w:rsidR="00727305" w:rsidRPr="0034151C" w:rsidRDefault="00371BED" w:rsidP="00727305">
      <w:pPr>
        <w:tabs>
          <w:tab w:val="left" w:pos="360"/>
        </w:tabs>
        <w:spacing w:after="120"/>
        <w:ind w:firstLine="567"/>
        <w:jc w:val="both"/>
        <w:rPr>
          <w:b/>
          <w:color w:val="0000FF"/>
          <w:sz w:val="28"/>
          <w:szCs w:val="28"/>
          <w:lang w:val="pt-BR"/>
        </w:rPr>
      </w:pPr>
      <w:r>
        <w:rPr>
          <w:b/>
          <w:color w:val="0000FF"/>
          <w:sz w:val="28"/>
          <w:szCs w:val="28"/>
          <w:lang w:val="pt-BR"/>
        </w:rPr>
        <w:t>2</w:t>
      </w:r>
      <w:r w:rsidR="00BB265E">
        <w:rPr>
          <w:b/>
          <w:color w:val="0000FF"/>
          <w:sz w:val="28"/>
          <w:szCs w:val="28"/>
          <w:lang w:val="pt-BR"/>
        </w:rPr>
        <w:t>.8</w:t>
      </w:r>
      <w:r w:rsidR="00727305" w:rsidRPr="0034151C">
        <w:rPr>
          <w:b/>
          <w:color w:val="0000FF"/>
          <w:sz w:val="28"/>
          <w:szCs w:val="28"/>
          <w:lang w:val="pt-BR"/>
        </w:rPr>
        <w:t>. Hoạt động Đào tạo:</w:t>
      </w:r>
    </w:p>
    <w:p w:rsidR="00727305" w:rsidRPr="0034151C" w:rsidRDefault="00727305" w:rsidP="00727305">
      <w:pPr>
        <w:spacing w:after="120"/>
        <w:ind w:firstLine="567"/>
        <w:jc w:val="both"/>
        <w:rPr>
          <w:sz w:val="28"/>
          <w:szCs w:val="28"/>
          <w:lang w:val="de-DE"/>
        </w:rPr>
      </w:pPr>
      <w:r w:rsidRPr="0034151C">
        <w:rPr>
          <w:sz w:val="28"/>
          <w:szCs w:val="28"/>
          <w:lang w:val="pt-BR"/>
        </w:rPr>
        <w:t>- Xây dựng</w:t>
      </w:r>
      <w:r w:rsidRPr="0034151C">
        <w:rPr>
          <w:sz w:val="28"/>
          <w:szCs w:val="28"/>
          <w:lang w:val="de-DE"/>
        </w:rPr>
        <w:t xml:space="preserve"> Kế hoạch đào tạo ở trong nước cho cán bộ của Cục sử dụng ngân sách sự nghiệp khoa học.</w:t>
      </w:r>
    </w:p>
    <w:p w:rsidR="00727305" w:rsidRPr="0034151C" w:rsidRDefault="00727305" w:rsidP="00727305">
      <w:pPr>
        <w:spacing w:after="120"/>
        <w:ind w:firstLine="567"/>
        <w:jc w:val="both"/>
        <w:rPr>
          <w:sz w:val="28"/>
          <w:szCs w:val="28"/>
          <w:lang w:val="de-DE"/>
        </w:rPr>
      </w:pPr>
      <w:r w:rsidRPr="0034151C">
        <w:rPr>
          <w:sz w:val="28"/>
          <w:szCs w:val="28"/>
          <w:lang w:val="de-DE"/>
        </w:rPr>
        <w:lastRenderedPageBreak/>
        <w:t>- Tổ chức 02 khóa đào tạo trong nước và 02 khó</w:t>
      </w:r>
      <w:r w:rsidR="00EF5A85" w:rsidRPr="0034151C">
        <w:rPr>
          <w:sz w:val="28"/>
          <w:szCs w:val="28"/>
          <w:lang w:val="de-DE"/>
        </w:rPr>
        <w:t>a</w:t>
      </w:r>
      <w:r w:rsidRPr="0034151C">
        <w:rPr>
          <w:sz w:val="28"/>
          <w:szCs w:val="28"/>
          <w:lang w:val="de-DE"/>
        </w:rPr>
        <w:t xml:space="preserve"> đào tạo tại nước ngoài</w:t>
      </w:r>
      <w:r w:rsidR="00D05072" w:rsidRPr="0034151C">
        <w:rPr>
          <w:sz w:val="28"/>
          <w:szCs w:val="28"/>
          <w:lang w:val="de-DE"/>
        </w:rPr>
        <w:t xml:space="preserve"> bằng ngân sách Nhà nước</w:t>
      </w:r>
      <w:r w:rsidRPr="0034151C">
        <w:rPr>
          <w:sz w:val="28"/>
          <w:szCs w:val="28"/>
          <w:lang w:val="de-DE"/>
        </w:rPr>
        <w:t>.</w:t>
      </w:r>
    </w:p>
    <w:p w:rsidR="00727305" w:rsidRPr="0034151C" w:rsidRDefault="003D508B" w:rsidP="00727305">
      <w:pPr>
        <w:spacing w:after="120"/>
        <w:ind w:firstLine="567"/>
        <w:jc w:val="both"/>
        <w:rPr>
          <w:sz w:val="28"/>
          <w:szCs w:val="28"/>
          <w:lang w:val="de-DE"/>
        </w:rPr>
      </w:pPr>
      <w:r>
        <w:rPr>
          <w:sz w:val="28"/>
          <w:szCs w:val="28"/>
          <w:lang w:val="de-DE"/>
        </w:rPr>
        <w:t>- Tham gia với Cục NLNT và V</w:t>
      </w:r>
      <w:r w:rsidR="00727305" w:rsidRPr="0034151C">
        <w:rPr>
          <w:sz w:val="28"/>
          <w:szCs w:val="28"/>
          <w:lang w:val="de-DE"/>
        </w:rPr>
        <w:t xml:space="preserve">iện NLNTVN xây dựng đề án đào tạo trong lĩnh vực năng lượng nguyên tử và đã được Thủ tướng Chính phủ phê duyệt- quyết định: </w:t>
      </w:r>
      <w:r w:rsidR="00727305" w:rsidRPr="0034151C">
        <w:rPr>
          <w:sz w:val="28"/>
          <w:szCs w:val="28"/>
          <w:shd w:val="clear" w:color="auto" w:fill="FFFFFF"/>
          <w:lang w:val="de-DE"/>
        </w:rPr>
        <w:t>Phê duyệt Kế hoạch đào tạo, bồi dưỡng nhân lực quản lý nhà nước, nghiên cứu - triển khai và hỗ trợ kỹ thuật đến năm 2020 phục vụ phát triển điện hạt nhân (Quyết định 1756)</w:t>
      </w:r>
      <w:r w:rsidR="00FC1034" w:rsidRPr="0034151C">
        <w:rPr>
          <w:sz w:val="28"/>
          <w:szCs w:val="28"/>
          <w:shd w:val="clear" w:color="auto" w:fill="FFFFFF"/>
          <w:lang w:val="de-DE"/>
        </w:rPr>
        <w:t>.</w:t>
      </w:r>
      <w:r w:rsidR="009233B2">
        <w:rPr>
          <w:sz w:val="28"/>
          <w:szCs w:val="28"/>
          <w:shd w:val="clear" w:color="auto" w:fill="FFFFFF"/>
          <w:lang w:val="de-DE"/>
        </w:rPr>
        <w:t xml:space="preserve"> Cần tiếp tục thảo luận để xây dựng kế hoạch triển khai từ năm 2016.</w:t>
      </w:r>
    </w:p>
    <w:p w:rsidR="00727305" w:rsidRPr="0034151C" w:rsidRDefault="00371BED" w:rsidP="00727305">
      <w:pPr>
        <w:spacing w:after="120"/>
        <w:ind w:firstLine="567"/>
        <w:jc w:val="both"/>
        <w:rPr>
          <w:b/>
          <w:color w:val="0000FF"/>
          <w:sz w:val="28"/>
          <w:szCs w:val="28"/>
          <w:lang w:val="vi-VN"/>
        </w:rPr>
      </w:pPr>
      <w:r>
        <w:rPr>
          <w:b/>
          <w:color w:val="0000FF"/>
          <w:sz w:val="28"/>
          <w:szCs w:val="28"/>
          <w:lang w:val="pt-BR"/>
        </w:rPr>
        <w:t>2</w:t>
      </w:r>
      <w:r w:rsidR="00727305" w:rsidRPr="0034151C">
        <w:rPr>
          <w:b/>
          <w:color w:val="0000FF"/>
          <w:sz w:val="28"/>
          <w:szCs w:val="28"/>
          <w:lang w:val="pt-BR"/>
        </w:rPr>
        <w:t>.</w:t>
      </w:r>
      <w:r w:rsidR="00BB265E">
        <w:rPr>
          <w:b/>
          <w:color w:val="0000FF"/>
          <w:sz w:val="28"/>
          <w:szCs w:val="28"/>
          <w:lang w:val="pt-BR"/>
        </w:rPr>
        <w:t>9</w:t>
      </w:r>
      <w:r w:rsidR="00727305" w:rsidRPr="0034151C">
        <w:rPr>
          <w:b/>
          <w:color w:val="0000FF"/>
          <w:sz w:val="28"/>
          <w:szCs w:val="28"/>
          <w:lang w:val="pt-BR"/>
        </w:rPr>
        <w:t xml:space="preserve">. </w:t>
      </w:r>
      <w:r w:rsidR="00727305" w:rsidRPr="0034151C">
        <w:rPr>
          <w:b/>
          <w:color w:val="0000FF"/>
          <w:sz w:val="28"/>
          <w:szCs w:val="28"/>
          <w:lang w:val="vi-VN"/>
        </w:rPr>
        <w:t>Hoạt động nghiên cứu khoa học</w:t>
      </w:r>
    </w:p>
    <w:p w:rsidR="00727305" w:rsidRPr="0034151C" w:rsidRDefault="00727305" w:rsidP="00727305">
      <w:pPr>
        <w:spacing w:after="120"/>
        <w:ind w:firstLine="567"/>
        <w:jc w:val="both"/>
        <w:rPr>
          <w:bCs/>
          <w:sz w:val="28"/>
          <w:szCs w:val="28"/>
          <w:lang w:val="pt-BR"/>
        </w:rPr>
      </w:pPr>
      <w:r w:rsidRPr="0034151C">
        <w:rPr>
          <w:bCs/>
          <w:sz w:val="28"/>
          <w:szCs w:val="28"/>
          <w:lang w:val="vi-VN"/>
        </w:rPr>
        <w:t xml:space="preserve">- </w:t>
      </w:r>
      <w:r w:rsidRPr="0034151C">
        <w:rPr>
          <w:sz w:val="28"/>
          <w:szCs w:val="28"/>
          <w:lang w:val="pt-BR"/>
        </w:rPr>
        <w:t>Cục đã làm tốt công tác nghiệm thu các đề tài, nhiệm vụ 201</w:t>
      </w:r>
      <w:r w:rsidR="00303A23" w:rsidRPr="0034151C">
        <w:rPr>
          <w:sz w:val="28"/>
          <w:szCs w:val="28"/>
          <w:lang w:val="pt-BR"/>
        </w:rPr>
        <w:t>4</w:t>
      </w:r>
      <w:r w:rsidRPr="0034151C">
        <w:rPr>
          <w:sz w:val="28"/>
          <w:szCs w:val="28"/>
          <w:lang w:val="pt-BR"/>
        </w:rPr>
        <w:t xml:space="preserve"> và chỉ đạo sát sao việc triển khai thực hiện các nhiệm vụ khoa học và công nghệ năm 201</w:t>
      </w:r>
      <w:r w:rsidR="00303A23" w:rsidRPr="0034151C">
        <w:rPr>
          <w:sz w:val="28"/>
          <w:szCs w:val="28"/>
          <w:lang w:val="pt-BR"/>
        </w:rPr>
        <w:t>5</w:t>
      </w:r>
      <w:r w:rsidRPr="0034151C">
        <w:rPr>
          <w:sz w:val="28"/>
          <w:szCs w:val="28"/>
          <w:lang w:val="pt-BR"/>
        </w:rPr>
        <w:t xml:space="preserve"> đã được Lãnh đạo Bộ phê duyệt. Cục đã tổ chức kiểm tra định kỳ các đề tài và đôn đốc các chủ nhiệm đề tài tổ chức thực hiện theo đúng tiến độ đã đăng ký;</w:t>
      </w:r>
    </w:p>
    <w:p w:rsidR="00727305" w:rsidRPr="0034151C" w:rsidRDefault="00727305" w:rsidP="00727305">
      <w:pPr>
        <w:spacing w:after="120"/>
        <w:ind w:firstLine="567"/>
        <w:jc w:val="both"/>
        <w:rPr>
          <w:bCs/>
          <w:sz w:val="28"/>
          <w:szCs w:val="28"/>
          <w:lang w:val="pt-BR"/>
        </w:rPr>
      </w:pPr>
      <w:r w:rsidRPr="0034151C">
        <w:rPr>
          <w:bCs/>
          <w:sz w:val="28"/>
          <w:szCs w:val="28"/>
          <w:lang w:val="pt-BR"/>
        </w:rPr>
        <w:t xml:space="preserve">- </w:t>
      </w:r>
      <w:r w:rsidRPr="0034151C">
        <w:rPr>
          <w:bCs/>
          <w:sz w:val="28"/>
          <w:szCs w:val="28"/>
          <w:lang w:val="vi-VN"/>
        </w:rPr>
        <w:t xml:space="preserve">Triển khai thực hiện </w:t>
      </w:r>
      <w:r w:rsidR="00303A23" w:rsidRPr="0034151C">
        <w:rPr>
          <w:bCs/>
          <w:sz w:val="28"/>
          <w:szCs w:val="28"/>
          <w:lang w:val="pt-BR"/>
        </w:rPr>
        <w:t>1</w:t>
      </w:r>
      <w:r w:rsidRPr="0034151C">
        <w:rPr>
          <w:bCs/>
          <w:sz w:val="28"/>
          <w:szCs w:val="28"/>
          <w:lang w:val="vi-VN"/>
        </w:rPr>
        <w:t xml:space="preserve"> đề tài độc lập cấp Nhà nước; 1 đề tài thuộc Chương trình KC.05/11-15</w:t>
      </w:r>
      <w:r w:rsidR="00303A23" w:rsidRPr="0034151C">
        <w:rPr>
          <w:bCs/>
          <w:sz w:val="28"/>
          <w:szCs w:val="28"/>
          <w:lang w:val="pt-BR"/>
        </w:rPr>
        <w:t xml:space="preserve">, </w:t>
      </w:r>
      <w:r w:rsidR="00303A23" w:rsidRPr="0034151C">
        <w:rPr>
          <w:sz w:val="28"/>
          <w:szCs w:val="28"/>
          <w:lang w:val="de-DE"/>
        </w:rPr>
        <w:t>Nhiệm vụ Nghị định thư với Lào</w:t>
      </w:r>
      <w:r w:rsidRPr="0034151C">
        <w:rPr>
          <w:bCs/>
          <w:sz w:val="28"/>
          <w:szCs w:val="28"/>
          <w:lang w:val="vi-VN"/>
        </w:rPr>
        <w:t xml:space="preserve"> và </w:t>
      </w:r>
      <w:r w:rsidR="00303A23" w:rsidRPr="0034151C">
        <w:rPr>
          <w:bCs/>
          <w:sz w:val="28"/>
          <w:szCs w:val="28"/>
          <w:lang w:val="pt-BR"/>
        </w:rPr>
        <w:t>0</w:t>
      </w:r>
      <w:r w:rsidR="00EF5A85" w:rsidRPr="0034151C">
        <w:rPr>
          <w:bCs/>
          <w:sz w:val="28"/>
          <w:szCs w:val="28"/>
          <w:lang w:val="pt-BR"/>
        </w:rPr>
        <w:t>6</w:t>
      </w:r>
      <w:r w:rsidRPr="0034151C">
        <w:rPr>
          <w:bCs/>
          <w:sz w:val="28"/>
          <w:szCs w:val="28"/>
          <w:lang w:val="vi-VN"/>
        </w:rPr>
        <w:t xml:space="preserve"> nhiệm vụ cấp Bộ</w:t>
      </w:r>
      <w:r w:rsidR="00BC5088" w:rsidRPr="0034151C">
        <w:rPr>
          <w:bCs/>
          <w:sz w:val="28"/>
          <w:szCs w:val="28"/>
          <w:lang w:val="pt-BR"/>
        </w:rPr>
        <w:t xml:space="preserve"> năm 2015</w:t>
      </w:r>
      <w:r w:rsidRPr="0034151C">
        <w:rPr>
          <w:bCs/>
          <w:sz w:val="28"/>
          <w:szCs w:val="28"/>
          <w:lang w:val="pt-BR"/>
        </w:rPr>
        <w:t>;</w:t>
      </w:r>
    </w:p>
    <w:p w:rsidR="00727305" w:rsidRPr="0034151C" w:rsidRDefault="00727305" w:rsidP="00727305">
      <w:pPr>
        <w:spacing w:after="120"/>
        <w:ind w:firstLine="567"/>
        <w:jc w:val="both"/>
        <w:rPr>
          <w:b/>
          <w:sz w:val="28"/>
          <w:szCs w:val="28"/>
          <w:lang w:val="nl-NL"/>
        </w:rPr>
      </w:pPr>
      <w:r w:rsidRPr="0034151C">
        <w:rPr>
          <w:sz w:val="28"/>
          <w:szCs w:val="28"/>
          <w:lang w:val="pt-BR"/>
        </w:rPr>
        <w:t>- Cục đã tổ chức xây dựng thuyết minh và phối hợp thực hiện việc xét duyệt thuyết minh, thẩm</w:t>
      </w:r>
      <w:r w:rsidR="003D508B">
        <w:rPr>
          <w:sz w:val="28"/>
          <w:szCs w:val="28"/>
          <w:lang w:val="pt-BR"/>
        </w:rPr>
        <w:t xml:space="preserve"> định tài chính để trình Bộ ra q</w:t>
      </w:r>
      <w:r w:rsidRPr="0034151C">
        <w:rPr>
          <w:sz w:val="28"/>
          <w:szCs w:val="28"/>
          <w:lang w:val="pt-BR"/>
        </w:rPr>
        <w:t>uyết định cho các đề tài, đề án và nhiệm vụ cấp Bộ</w:t>
      </w:r>
      <w:r w:rsidR="00BC5088" w:rsidRPr="0034151C">
        <w:rPr>
          <w:sz w:val="28"/>
          <w:szCs w:val="28"/>
          <w:lang w:val="pt-BR"/>
        </w:rPr>
        <w:t xml:space="preserve"> năm 2016</w:t>
      </w:r>
      <w:r w:rsidRPr="0034151C">
        <w:rPr>
          <w:sz w:val="28"/>
          <w:szCs w:val="28"/>
          <w:lang w:val="pt-BR"/>
        </w:rPr>
        <w:t>.</w:t>
      </w:r>
    </w:p>
    <w:p w:rsidR="008E52EC" w:rsidRPr="0034151C" w:rsidRDefault="00371BED" w:rsidP="008E52EC">
      <w:pPr>
        <w:tabs>
          <w:tab w:val="num" w:pos="0"/>
          <w:tab w:val="left" w:pos="2040"/>
        </w:tabs>
        <w:spacing w:after="120"/>
        <w:ind w:firstLine="567"/>
        <w:jc w:val="both"/>
        <w:rPr>
          <w:sz w:val="28"/>
          <w:szCs w:val="28"/>
          <w:lang w:val="pt-BR"/>
        </w:rPr>
      </w:pPr>
      <w:r w:rsidRPr="00371BED">
        <w:rPr>
          <w:b/>
          <w:color w:val="0033CC"/>
          <w:sz w:val="28"/>
          <w:szCs w:val="28"/>
          <w:lang w:val="nl-NL"/>
        </w:rPr>
        <w:t>2</w:t>
      </w:r>
      <w:r w:rsidR="00BB265E">
        <w:rPr>
          <w:b/>
          <w:color w:val="0033CC"/>
          <w:sz w:val="28"/>
          <w:szCs w:val="28"/>
          <w:lang w:val="nl-NL"/>
        </w:rPr>
        <w:t>.10</w:t>
      </w:r>
      <w:r w:rsidR="008E52EC" w:rsidRPr="0034151C">
        <w:rPr>
          <w:b/>
          <w:color w:val="0033CC"/>
          <w:sz w:val="28"/>
          <w:szCs w:val="28"/>
          <w:lang w:val="vi-VN"/>
        </w:rPr>
        <w:t xml:space="preserve">. Hoạt động </w:t>
      </w:r>
      <w:r w:rsidR="008E52EC" w:rsidRPr="0034151C">
        <w:rPr>
          <w:b/>
          <w:color w:val="0033CC"/>
          <w:sz w:val="28"/>
          <w:szCs w:val="28"/>
          <w:lang w:val="de-DE"/>
        </w:rPr>
        <w:t xml:space="preserve">của </w:t>
      </w:r>
      <w:r w:rsidR="008E52EC" w:rsidRPr="0034151C">
        <w:rPr>
          <w:b/>
          <w:color w:val="0033CC"/>
          <w:sz w:val="28"/>
          <w:szCs w:val="28"/>
          <w:lang w:val="vi-VN"/>
        </w:rPr>
        <w:t>Hội đồng ATHNQG</w:t>
      </w:r>
    </w:p>
    <w:p w:rsidR="008E52EC" w:rsidRPr="0034151C" w:rsidRDefault="008E52EC" w:rsidP="0099356D">
      <w:pPr>
        <w:tabs>
          <w:tab w:val="num" w:pos="0"/>
          <w:tab w:val="left" w:pos="2040"/>
        </w:tabs>
        <w:spacing w:after="120"/>
        <w:ind w:firstLine="567"/>
        <w:jc w:val="both"/>
        <w:rPr>
          <w:sz w:val="28"/>
          <w:szCs w:val="28"/>
          <w:lang w:val="vi-VN"/>
        </w:rPr>
      </w:pPr>
      <w:r w:rsidRPr="0034151C">
        <w:rPr>
          <w:sz w:val="28"/>
          <w:szCs w:val="28"/>
          <w:lang w:val="pt-BR"/>
        </w:rPr>
        <w:t>Cục ATBXHN v</w:t>
      </w:r>
      <w:r w:rsidRPr="0034151C">
        <w:rPr>
          <w:sz w:val="28"/>
          <w:szCs w:val="28"/>
          <w:lang w:val="vi-VN"/>
        </w:rPr>
        <w:t>ới vai trò của cơ quan thường trực đã giúp Hội đồng ATHNQG trong các hoạt động chuyên môn để tư vấn giúp Thủ tướng Chính phủ trong chỉ đạo, giải quyết những vấn đề quan trọng, liên ngành về bảo đảm an toàn dự án điện hạt nhân.</w:t>
      </w:r>
      <w:r w:rsidR="0099356D" w:rsidRPr="0034151C">
        <w:rPr>
          <w:sz w:val="28"/>
          <w:szCs w:val="28"/>
          <w:lang w:val="pt-BR"/>
        </w:rPr>
        <w:t xml:space="preserve"> </w:t>
      </w:r>
      <w:r w:rsidRPr="0034151C">
        <w:rPr>
          <w:sz w:val="28"/>
          <w:szCs w:val="28"/>
          <w:lang w:val="vi-VN"/>
        </w:rPr>
        <w:t>Trong năm 2015, đã thực hiện được các nội dung sau:</w:t>
      </w:r>
    </w:p>
    <w:p w:rsidR="008E52EC" w:rsidRPr="0034151C" w:rsidRDefault="008E52EC" w:rsidP="0099356D">
      <w:pPr>
        <w:tabs>
          <w:tab w:val="num" w:pos="0"/>
          <w:tab w:val="left" w:pos="2040"/>
        </w:tabs>
        <w:spacing w:after="120"/>
        <w:ind w:firstLine="567"/>
        <w:jc w:val="both"/>
        <w:rPr>
          <w:bCs/>
          <w:sz w:val="28"/>
          <w:szCs w:val="28"/>
          <w:lang w:val="vi-VN"/>
        </w:rPr>
      </w:pPr>
      <w:r w:rsidRPr="0034151C">
        <w:rPr>
          <w:sz w:val="28"/>
          <w:szCs w:val="28"/>
          <w:lang w:val="vi-VN"/>
        </w:rPr>
        <w:t xml:space="preserve">1. Chuẩn bị nội dung, tổ chức 02 phiên họp của Hội đồng ATHNQG, </w:t>
      </w:r>
      <w:r w:rsidRPr="0034151C">
        <w:rPr>
          <w:bCs/>
          <w:sz w:val="28"/>
          <w:szCs w:val="28"/>
          <w:lang w:val="vi-VN"/>
        </w:rPr>
        <w:t xml:space="preserve">chuẩn bị văn bản trình Hội đồng thông qua trong các phiên họp trước khi trình Thủ tướng Chính phủ về: </w:t>
      </w:r>
    </w:p>
    <w:p w:rsidR="008E52EC" w:rsidRPr="0034151C" w:rsidRDefault="008E52EC" w:rsidP="0099356D">
      <w:pPr>
        <w:tabs>
          <w:tab w:val="num" w:pos="0"/>
          <w:tab w:val="left" w:pos="2040"/>
        </w:tabs>
        <w:spacing w:after="120"/>
        <w:ind w:firstLine="567"/>
        <w:jc w:val="both"/>
        <w:rPr>
          <w:bCs/>
          <w:sz w:val="28"/>
          <w:szCs w:val="28"/>
          <w:lang w:val="vi-VN"/>
        </w:rPr>
      </w:pPr>
      <w:r w:rsidRPr="0034151C">
        <w:rPr>
          <w:bCs/>
          <w:sz w:val="28"/>
          <w:szCs w:val="28"/>
          <w:lang w:val="vi-VN"/>
        </w:rPr>
        <w:t xml:space="preserve">- </w:t>
      </w:r>
      <w:r w:rsidR="00D05072" w:rsidRPr="0034151C">
        <w:rPr>
          <w:bCs/>
          <w:sz w:val="28"/>
          <w:szCs w:val="28"/>
          <w:lang w:val="it-IT"/>
        </w:rPr>
        <w:t xml:space="preserve">Khung văn bản pháp </w:t>
      </w:r>
      <w:r w:rsidRPr="0034151C">
        <w:rPr>
          <w:bCs/>
          <w:sz w:val="28"/>
          <w:szCs w:val="28"/>
          <w:lang w:val="it-IT"/>
        </w:rPr>
        <w:t xml:space="preserve">luật </w:t>
      </w:r>
      <w:r w:rsidR="00D05072" w:rsidRPr="0034151C">
        <w:rPr>
          <w:bCs/>
          <w:sz w:val="28"/>
          <w:szCs w:val="28"/>
          <w:lang w:val="it-IT"/>
        </w:rPr>
        <w:t xml:space="preserve">về điện hạt nhân của </w:t>
      </w:r>
      <w:r w:rsidRPr="0034151C">
        <w:rPr>
          <w:bCs/>
          <w:sz w:val="28"/>
          <w:szCs w:val="28"/>
          <w:lang w:val="it-IT"/>
        </w:rPr>
        <w:t>Việt Nam; Tiêu chuẩn, quy chuẩn kỹ thuật.</w:t>
      </w:r>
    </w:p>
    <w:p w:rsidR="008E52EC" w:rsidRPr="0034151C" w:rsidRDefault="008E52EC" w:rsidP="0099356D">
      <w:pPr>
        <w:tabs>
          <w:tab w:val="num" w:pos="0"/>
          <w:tab w:val="left" w:pos="2040"/>
        </w:tabs>
        <w:spacing w:after="120"/>
        <w:ind w:firstLine="567"/>
        <w:jc w:val="both"/>
        <w:rPr>
          <w:bCs/>
          <w:sz w:val="28"/>
          <w:szCs w:val="28"/>
          <w:lang w:val="vi-VN"/>
        </w:rPr>
      </w:pPr>
      <w:r w:rsidRPr="0034151C">
        <w:rPr>
          <w:bCs/>
          <w:sz w:val="28"/>
          <w:szCs w:val="28"/>
          <w:lang w:val="vi-VN"/>
        </w:rPr>
        <w:t xml:space="preserve">- Công tác </w:t>
      </w:r>
      <w:r w:rsidRPr="0034151C">
        <w:rPr>
          <w:bCs/>
          <w:sz w:val="28"/>
          <w:szCs w:val="28"/>
          <w:lang w:val="nl-NL"/>
        </w:rPr>
        <w:t>chuẩn bị và tổ chức thẩm định</w:t>
      </w:r>
      <w:r w:rsidRPr="0034151C">
        <w:rPr>
          <w:bCs/>
          <w:sz w:val="28"/>
          <w:szCs w:val="28"/>
          <w:lang w:val="vi-VN"/>
        </w:rPr>
        <w:t xml:space="preserve"> báo cáo phân tích an toàn phục vụ phê duyệt địa điểm và Dự án đầu tư xây dựng nhà máy điện hạt nhân Ninh Thuận. </w:t>
      </w:r>
    </w:p>
    <w:p w:rsidR="008E52EC" w:rsidRPr="0034151C" w:rsidRDefault="008E52EC" w:rsidP="0099356D">
      <w:pPr>
        <w:tabs>
          <w:tab w:val="num" w:pos="0"/>
          <w:tab w:val="left" w:pos="2040"/>
        </w:tabs>
        <w:spacing w:after="120"/>
        <w:ind w:firstLine="567"/>
        <w:jc w:val="both"/>
        <w:rPr>
          <w:bCs/>
          <w:sz w:val="28"/>
          <w:szCs w:val="28"/>
          <w:lang w:val="vi-VN"/>
        </w:rPr>
      </w:pPr>
      <w:r w:rsidRPr="0034151C">
        <w:rPr>
          <w:bCs/>
          <w:sz w:val="28"/>
          <w:szCs w:val="28"/>
          <w:lang w:val="vi-VN"/>
        </w:rPr>
        <w:t>- Thảo luận một số chính sách quan trọng về quản lý chất thải phóng xạ, quản lý nhiên liệu hạt nhân đã qua sử dụng và một số chính sách liên quan khác.</w:t>
      </w:r>
    </w:p>
    <w:p w:rsidR="008E52EC" w:rsidRPr="0034151C" w:rsidRDefault="008E52EC" w:rsidP="0099356D">
      <w:pPr>
        <w:tabs>
          <w:tab w:val="num" w:pos="0"/>
          <w:tab w:val="left" w:pos="2040"/>
        </w:tabs>
        <w:spacing w:after="120"/>
        <w:ind w:firstLine="567"/>
        <w:jc w:val="both"/>
        <w:rPr>
          <w:bCs/>
          <w:sz w:val="28"/>
          <w:szCs w:val="28"/>
          <w:lang w:val="vi-VN"/>
        </w:rPr>
      </w:pPr>
      <w:r w:rsidRPr="0034151C">
        <w:rPr>
          <w:bCs/>
          <w:sz w:val="28"/>
          <w:szCs w:val="28"/>
          <w:lang w:val="vi-VN"/>
        </w:rPr>
        <w:t>- C</w:t>
      </w:r>
      <w:r w:rsidRPr="0034151C">
        <w:rPr>
          <w:bCs/>
          <w:sz w:val="28"/>
          <w:szCs w:val="28"/>
          <w:lang w:val="nl-NL"/>
        </w:rPr>
        <w:t>ông tác soạn thảo Luật NLNT sửa đổi.</w:t>
      </w:r>
    </w:p>
    <w:p w:rsidR="008E52EC" w:rsidRPr="0034151C" w:rsidRDefault="008E52EC" w:rsidP="0099356D">
      <w:pPr>
        <w:tabs>
          <w:tab w:val="num" w:pos="0"/>
          <w:tab w:val="left" w:pos="2040"/>
        </w:tabs>
        <w:spacing w:after="120"/>
        <w:ind w:firstLine="567"/>
        <w:jc w:val="both"/>
        <w:rPr>
          <w:bCs/>
          <w:sz w:val="28"/>
          <w:szCs w:val="28"/>
          <w:lang w:val="nl-NL"/>
        </w:rPr>
      </w:pPr>
      <w:r w:rsidRPr="0034151C">
        <w:rPr>
          <w:bCs/>
          <w:sz w:val="28"/>
          <w:szCs w:val="28"/>
          <w:lang w:val="vi-VN"/>
        </w:rPr>
        <w:t>- X</w:t>
      </w:r>
      <w:r w:rsidRPr="0034151C">
        <w:rPr>
          <w:bCs/>
          <w:sz w:val="28"/>
          <w:szCs w:val="28"/>
          <w:lang w:val="it-IT"/>
        </w:rPr>
        <w:t xml:space="preserve">ây dựng và phát triển cơ sở hạ tầng an toàn và an ninh phục vụ phát triển điện hạt nhân của Việt Nam; </w:t>
      </w:r>
      <w:r w:rsidRPr="0034151C">
        <w:rPr>
          <w:bCs/>
          <w:sz w:val="28"/>
          <w:szCs w:val="28"/>
          <w:lang w:val="nl-NL"/>
        </w:rPr>
        <w:t>Quy hoạch đào tạo phát triển nguồn nhân lực.</w:t>
      </w:r>
    </w:p>
    <w:p w:rsidR="008E52EC" w:rsidRPr="0034151C" w:rsidRDefault="008E52EC" w:rsidP="0099356D">
      <w:pPr>
        <w:tabs>
          <w:tab w:val="num" w:pos="0"/>
          <w:tab w:val="left" w:pos="2040"/>
        </w:tabs>
        <w:spacing w:after="120"/>
        <w:ind w:firstLine="567"/>
        <w:jc w:val="both"/>
        <w:rPr>
          <w:sz w:val="28"/>
          <w:szCs w:val="28"/>
          <w:lang w:val="nl-NL"/>
        </w:rPr>
      </w:pPr>
      <w:r w:rsidRPr="0034151C">
        <w:rPr>
          <w:sz w:val="28"/>
          <w:szCs w:val="28"/>
          <w:lang w:val="nl-NL"/>
        </w:rPr>
        <w:t>2. Chuẩn bị nội dung, tổ chức 0</w:t>
      </w:r>
      <w:r w:rsidR="00C417D3" w:rsidRPr="0034151C">
        <w:rPr>
          <w:sz w:val="28"/>
          <w:szCs w:val="28"/>
          <w:lang w:val="nl-NL"/>
        </w:rPr>
        <w:t>1</w:t>
      </w:r>
      <w:r w:rsidRPr="0034151C">
        <w:rPr>
          <w:sz w:val="28"/>
          <w:szCs w:val="28"/>
          <w:lang w:val="nl-NL"/>
        </w:rPr>
        <w:t xml:space="preserve"> đoàn công tác khảo sát tại địa điểm dự kiến xây dựng nhà máy điện hạt nhân:</w:t>
      </w:r>
    </w:p>
    <w:p w:rsidR="008E52EC" w:rsidRPr="0034151C" w:rsidRDefault="008E52EC" w:rsidP="0099356D">
      <w:pPr>
        <w:tabs>
          <w:tab w:val="num" w:pos="0"/>
          <w:tab w:val="left" w:pos="2040"/>
        </w:tabs>
        <w:spacing w:after="120"/>
        <w:ind w:firstLine="567"/>
        <w:jc w:val="both"/>
        <w:rPr>
          <w:sz w:val="28"/>
          <w:szCs w:val="28"/>
          <w:lang w:val="nl-NL"/>
        </w:rPr>
      </w:pPr>
      <w:r w:rsidRPr="0034151C">
        <w:rPr>
          <w:sz w:val="28"/>
          <w:szCs w:val="28"/>
          <w:lang w:val="nl-NL"/>
        </w:rPr>
        <w:t xml:space="preserve">Kiểm tra, đánh giá công tác khảo sát của chủ đầu tư và nhà thầu tư vấn trong các vấn đề quan trọng liên quan tới an toàn địa điểm để có kết luận phù hợp về các vấn đề đứt gãy, động đất và sóng thần cũng như yêu cầu chủ đầu tư và nhà thầu tư vấn </w:t>
      </w:r>
      <w:r w:rsidRPr="0034151C">
        <w:rPr>
          <w:sz w:val="28"/>
          <w:szCs w:val="28"/>
          <w:lang w:val="vi-VN"/>
        </w:rPr>
        <w:t>thực hiện các khảo sát bổ sung</w:t>
      </w:r>
      <w:r w:rsidRPr="0034151C">
        <w:rPr>
          <w:sz w:val="28"/>
          <w:szCs w:val="28"/>
          <w:lang w:val="nl-NL"/>
        </w:rPr>
        <w:t>;</w:t>
      </w:r>
    </w:p>
    <w:p w:rsidR="008E52EC" w:rsidRPr="0034151C" w:rsidRDefault="008E52EC" w:rsidP="0099356D">
      <w:pPr>
        <w:tabs>
          <w:tab w:val="num" w:pos="0"/>
          <w:tab w:val="left" w:pos="2040"/>
        </w:tabs>
        <w:spacing w:after="120"/>
        <w:ind w:firstLine="567"/>
        <w:jc w:val="both"/>
        <w:rPr>
          <w:sz w:val="28"/>
          <w:szCs w:val="28"/>
          <w:lang w:val="nl-NL"/>
        </w:rPr>
      </w:pPr>
      <w:r w:rsidRPr="0034151C">
        <w:rPr>
          <w:sz w:val="28"/>
          <w:szCs w:val="28"/>
          <w:lang w:val="nl-NL"/>
        </w:rPr>
        <w:lastRenderedPageBreak/>
        <w:t>3. Chuẩn bị nội dung, tổ chức 0</w:t>
      </w:r>
      <w:r w:rsidR="00C417D3" w:rsidRPr="0034151C">
        <w:rPr>
          <w:sz w:val="28"/>
          <w:szCs w:val="28"/>
          <w:lang w:val="nl-NL"/>
        </w:rPr>
        <w:t>1</w:t>
      </w:r>
      <w:r w:rsidRPr="0034151C">
        <w:rPr>
          <w:sz w:val="28"/>
          <w:szCs w:val="28"/>
          <w:lang w:val="nl-NL"/>
        </w:rPr>
        <w:t xml:space="preserve"> đoàn công tác </w:t>
      </w:r>
      <w:r w:rsidRPr="0034151C">
        <w:rPr>
          <w:sz w:val="28"/>
          <w:szCs w:val="28"/>
          <w:lang w:val="vi-VN"/>
        </w:rPr>
        <w:t xml:space="preserve">khảo sát, tham quan tại </w:t>
      </w:r>
      <w:r w:rsidRPr="0034151C">
        <w:rPr>
          <w:sz w:val="28"/>
          <w:szCs w:val="28"/>
          <w:lang w:val="nl-NL"/>
        </w:rPr>
        <w:t xml:space="preserve">các </w:t>
      </w:r>
      <w:r w:rsidRPr="0034151C">
        <w:rPr>
          <w:sz w:val="28"/>
          <w:szCs w:val="28"/>
          <w:lang w:val="vi-VN"/>
        </w:rPr>
        <w:t xml:space="preserve">nước </w:t>
      </w:r>
      <w:r w:rsidRPr="0034151C">
        <w:rPr>
          <w:sz w:val="28"/>
          <w:szCs w:val="28"/>
          <w:lang w:val="nl-NL"/>
        </w:rPr>
        <w:t>có ngành công nghiệp điện hạt nhân tiên tiến nhằm trao đổi, tham vấn về:</w:t>
      </w:r>
    </w:p>
    <w:p w:rsidR="008E52EC" w:rsidRPr="0034151C" w:rsidRDefault="008E52EC" w:rsidP="0099356D">
      <w:pPr>
        <w:tabs>
          <w:tab w:val="num" w:pos="0"/>
          <w:tab w:val="left" w:pos="2040"/>
        </w:tabs>
        <w:spacing w:after="120"/>
        <w:ind w:firstLine="567"/>
        <w:jc w:val="both"/>
        <w:rPr>
          <w:rStyle w:val="tomtattinb"/>
          <w:bCs/>
          <w:sz w:val="28"/>
          <w:szCs w:val="28"/>
          <w:lang w:val="nl-NL"/>
        </w:rPr>
      </w:pPr>
      <w:r w:rsidRPr="0034151C">
        <w:rPr>
          <w:sz w:val="28"/>
          <w:szCs w:val="28"/>
          <w:lang w:val="nl-NL"/>
        </w:rPr>
        <w:t>- Xây dựng</w:t>
      </w:r>
      <w:r w:rsidRPr="0034151C">
        <w:rPr>
          <w:rStyle w:val="tomtattinb"/>
          <w:bCs/>
          <w:sz w:val="28"/>
          <w:szCs w:val="28"/>
          <w:lang w:val="nl-NL"/>
        </w:rPr>
        <w:t xml:space="preserve"> dự thảo Luật NLNT sửa đổi</w:t>
      </w:r>
    </w:p>
    <w:p w:rsidR="008E52EC" w:rsidRPr="0034151C" w:rsidRDefault="008E52EC" w:rsidP="0099356D">
      <w:pPr>
        <w:tabs>
          <w:tab w:val="num" w:pos="0"/>
          <w:tab w:val="left" w:pos="2040"/>
        </w:tabs>
        <w:spacing w:after="120"/>
        <w:ind w:firstLine="567"/>
        <w:jc w:val="both"/>
        <w:rPr>
          <w:rStyle w:val="tomtattinb"/>
          <w:bCs/>
          <w:sz w:val="28"/>
          <w:szCs w:val="28"/>
          <w:lang w:val="nl-NL"/>
        </w:rPr>
      </w:pPr>
      <w:r w:rsidRPr="0034151C">
        <w:rPr>
          <w:rStyle w:val="tomtattinb"/>
          <w:bCs/>
          <w:sz w:val="28"/>
          <w:szCs w:val="28"/>
          <w:lang w:val="nl-NL"/>
        </w:rPr>
        <w:t>- Hoàn thiện các cơ sở hạ tầng an toàn và an ninh hạt nhân phục vụ triển khai dự án điện hạt nhân.</w:t>
      </w:r>
    </w:p>
    <w:p w:rsidR="008E52EC" w:rsidRPr="0034151C" w:rsidRDefault="008E52EC" w:rsidP="0099356D">
      <w:pPr>
        <w:tabs>
          <w:tab w:val="num" w:pos="0"/>
          <w:tab w:val="left" w:pos="2040"/>
        </w:tabs>
        <w:spacing w:after="120"/>
        <w:ind w:firstLine="567"/>
        <w:jc w:val="both"/>
        <w:rPr>
          <w:rStyle w:val="tomtattinb"/>
          <w:bCs/>
          <w:sz w:val="28"/>
          <w:szCs w:val="28"/>
          <w:lang w:val="nl-NL"/>
        </w:rPr>
      </w:pPr>
      <w:r w:rsidRPr="0034151C">
        <w:rPr>
          <w:sz w:val="28"/>
          <w:szCs w:val="28"/>
          <w:lang w:val="nl-NL"/>
        </w:rPr>
        <w:t>- X</w:t>
      </w:r>
      <w:r w:rsidRPr="0034151C">
        <w:rPr>
          <w:sz w:val="28"/>
          <w:szCs w:val="28"/>
          <w:lang w:val="vi-VN"/>
        </w:rPr>
        <w:t>ây dựng và thực thi chính sách quốc gia về an toàn hạt nhân nói chung, trong đó có chính sách về chu trình nhiên liệu, quản lý nhiên liệu đã qua sử dụng, bảo đảm an toàn quản lý chất thải hạt nhân.</w:t>
      </w:r>
    </w:p>
    <w:p w:rsidR="008E52EC" w:rsidRPr="0034151C" w:rsidRDefault="008E52EC" w:rsidP="0099356D">
      <w:pPr>
        <w:tabs>
          <w:tab w:val="num" w:pos="0"/>
          <w:tab w:val="left" w:pos="2040"/>
        </w:tabs>
        <w:spacing w:after="120"/>
        <w:ind w:firstLine="567"/>
        <w:jc w:val="both"/>
        <w:rPr>
          <w:sz w:val="28"/>
          <w:szCs w:val="28"/>
          <w:lang w:val="nl-NL"/>
        </w:rPr>
      </w:pPr>
      <w:r w:rsidRPr="0034151C">
        <w:rPr>
          <w:rStyle w:val="tomtattinb"/>
          <w:bCs/>
          <w:sz w:val="28"/>
          <w:szCs w:val="28"/>
          <w:lang w:val="nl-NL"/>
        </w:rPr>
        <w:t>- K</w:t>
      </w:r>
      <w:r w:rsidRPr="0034151C">
        <w:rPr>
          <w:sz w:val="28"/>
          <w:szCs w:val="28"/>
          <w:lang w:val="vi-VN"/>
        </w:rPr>
        <w:t>inh nghiệm về quản lý các nhà thầu tham gia xây dựng</w:t>
      </w:r>
      <w:r w:rsidRPr="0034151C">
        <w:rPr>
          <w:sz w:val="28"/>
          <w:szCs w:val="28"/>
          <w:lang w:val="nl-NL"/>
        </w:rPr>
        <w:t xml:space="preserve">; </w:t>
      </w:r>
      <w:r w:rsidRPr="0034151C">
        <w:rPr>
          <w:sz w:val="28"/>
          <w:szCs w:val="28"/>
          <w:lang w:val="vi-VN"/>
        </w:rPr>
        <w:t>nguyên nhân làm chậm tiến độ xây dựng và những vấn đề tương tự mà Việt Nam đã và đang gặp phải khi triển khai dự án điện hạt nhân Ninh Thuận</w:t>
      </w:r>
      <w:r w:rsidRPr="0034151C">
        <w:rPr>
          <w:sz w:val="28"/>
          <w:szCs w:val="28"/>
          <w:lang w:val="nl-NL"/>
        </w:rPr>
        <w:t>.</w:t>
      </w:r>
    </w:p>
    <w:p w:rsidR="008E52EC" w:rsidRPr="0034151C" w:rsidRDefault="00C417D3" w:rsidP="0099356D">
      <w:pPr>
        <w:tabs>
          <w:tab w:val="num" w:pos="0"/>
          <w:tab w:val="left" w:pos="2040"/>
        </w:tabs>
        <w:spacing w:after="120"/>
        <w:ind w:firstLine="567"/>
        <w:jc w:val="both"/>
        <w:rPr>
          <w:sz w:val="28"/>
          <w:szCs w:val="28"/>
          <w:lang w:val="nl-NL"/>
        </w:rPr>
      </w:pPr>
      <w:r w:rsidRPr="0034151C">
        <w:rPr>
          <w:sz w:val="28"/>
          <w:szCs w:val="28"/>
          <w:lang w:val="nl-NL"/>
        </w:rPr>
        <w:t>4</w:t>
      </w:r>
      <w:r w:rsidR="008E52EC" w:rsidRPr="0034151C">
        <w:rPr>
          <w:sz w:val="28"/>
          <w:szCs w:val="28"/>
          <w:lang w:val="nl-NL"/>
        </w:rPr>
        <w:t xml:space="preserve">. Tổ chức </w:t>
      </w:r>
      <w:r w:rsidR="008E52EC" w:rsidRPr="0034151C">
        <w:rPr>
          <w:sz w:val="28"/>
          <w:szCs w:val="28"/>
          <w:lang w:val="vi-VN"/>
        </w:rPr>
        <w:t xml:space="preserve">Hội thảo khoa học quốc gia </w:t>
      </w:r>
      <w:r w:rsidR="008E52EC" w:rsidRPr="0034151C">
        <w:rPr>
          <w:sz w:val="28"/>
          <w:szCs w:val="28"/>
          <w:lang w:val="nl-NL"/>
        </w:rPr>
        <w:t>về an toàn địa điểm NMĐHN Ninh Thuận 1 và Ninh Thuận 2, trong đó tập trung trao đổi về các vấn đề quan trọng còn tồn tại ý kiến trái chiều nhau cần được giải quyết liên quan tới các đới phá hủy kiến tạo, đứt gãy, sóng thần, ...</w:t>
      </w:r>
    </w:p>
    <w:p w:rsidR="008E52EC" w:rsidRPr="0034151C" w:rsidRDefault="008E52EC" w:rsidP="0099356D">
      <w:pPr>
        <w:spacing w:after="120"/>
        <w:ind w:firstLine="567"/>
        <w:jc w:val="both"/>
        <w:rPr>
          <w:sz w:val="28"/>
          <w:szCs w:val="28"/>
          <w:lang w:val="nl-NL"/>
        </w:rPr>
      </w:pPr>
      <w:r w:rsidRPr="0034151C">
        <w:rPr>
          <w:sz w:val="28"/>
          <w:szCs w:val="28"/>
          <w:lang w:val="nl-NL"/>
        </w:rPr>
        <w:t>6. Tổ chức các cuộc họp của 14 Nhóm chuyên gia trong nhiệm vụ chuẩn bị, tổ chức thẩm định Báo cáo phân tích an toàn và Báo cáo đánh giá tác động môi trường dự án điện hạt nhân Ninh Thuận 1 và Ninh Thuận 2.</w:t>
      </w:r>
    </w:p>
    <w:p w:rsidR="00C417D3" w:rsidRPr="0034151C" w:rsidRDefault="00371BED" w:rsidP="00C417D3">
      <w:pPr>
        <w:tabs>
          <w:tab w:val="num" w:pos="720"/>
          <w:tab w:val="left" w:pos="2040"/>
        </w:tabs>
        <w:spacing w:after="120"/>
        <w:ind w:left="720" w:hanging="360"/>
        <w:jc w:val="both"/>
        <w:rPr>
          <w:b/>
          <w:color w:val="0000FF"/>
          <w:sz w:val="28"/>
          <w:szCs w:val="28"/>
        </w:rPr>
      </w:pPr>
      <w:r>
        <w:rPr>
          <w:b/>
          <w:color w:val="0000FF"/>
          <w:sz w:val="28"/>
          <w:szCs w:val="28"/>
          <w:lang w:val="nl-NL"/>
        </w:rPr>
        <w:t>2</w:t>
      </w:r>
      <w:r w:rsidR="00C417D3" w:rsidRPr="0034151C">
        <w:rPr>
          <w:b/>
          <w:color w:val="0000FF"/>
          <w:sz w:val="28"/>
          <w:szCs w:val="28"/>
          <w:lang w:val="nl-NL"/>
        </w:rPr>
        <w:t>.</w:t>
      </w:r>
      <w:r w:rsidR="00BB265E">
        <w:rPr>
          <w:b/>
          <w:color w:val="0000FF"/>
          <w:sz w:val="28"/>
          <w:szCs w:val="28"/>
          <w:lang w:val="nl-NL"/>
        </w:rPr>
        <w:t>11</w:t>
      </w:r>
      <w:r w:rsidR="00C417D3" w:rsidRPr="0034151C">
        <w:rPr>
          <w:b/>
          <w:color w:val="0000FF"/>
          <w:sz w:val="28"/>
          <w:szCs w:val="28"/>
          <w:lang w:val="nl-NL"/>
        </w:rPr>
        <w:t xml:space="preserve">. </w:t>
      </w:r>
      <w:r w:rsidR="00C417D3" w:rsidRPr="0034151C">
        <w:rPr>
          <w:b/>
          <w:color w:val="0000FF"/>
          <w:sz w:val="28"/>
          <w:szCs w:val="28"/>
        </w:rPr>
        <w:t>Hoạt động của Tiểu ban An toàn và an ninh hạt nhân</w:t>
      </w:r>
    </w:p>
    <w:p w:rsidR="00C417D3" w:rsidRPr="0034151C" w:rsidRDefault="00C417D3" w:rsidP="00C417D3">
      <w:pPr>
        <w:tabs>
          <w:tab w:val="num" w:pos="0"/>
          <w:tab w:val="left" w:pos="2040"/>
        </w:tabs>
        <w:spacing w:after="120"/>
        <w:ind w:firstLine="567"/>
        <w:jc w:val="both"/>
        <w:rPr>
          <w:sz w:val="28"/>
          <w:szCs w:val="28"/>
          <w:lang w:val="vi-VN"/>
        </w:rPr>
      </w:pPr>
      <w:r w:rsidRPr="0034151C">
        <w:rPr>
          <w:sz w:val="28"/>
          <w:szCs w:val="28"/>
          <w:lang w:val="pt-BR"/>
        </w:rPr>
        <w:t>Cục ATBXHN v</w:t>
      </w:r>
      <w:r w:rsidRPr="0034151C">
        <w:rPr>
          <w:sz w:val="28"/>
          <w:szCs w:val="28"/>
          <w:lang w:val="vi-VN"/>
        </w:rPr>
        <w:t xml:space="preserve">ới vai trò của cơ quan thường trực đã giúp </w:t>
      </w:r>
      <w:r w:rsidRPr="0034151C">
        <w:rPr>
          <w:sz w:val="28"/>
          <w:szCs w:val="28"/>
        </w:rPr>
        <w:t>Tiểu ban An toàn và an ninh hạt nhân</w:t>
      </w:r>
      <w:r w:rsidRPr="0034151C">
        <w:rPr>
          <w:sz w:val="28"/>
          <w:szCs w:val="28"/>
          <w:lang w:val="vi-VN"/>
        </w:rPr>
        <w:t xml:space="preserve"> trong các hoạt động chuyên môn </w:t>
      </w:r>
      <w:r w:rsidRPr="0034151C">
        <w:rPr>
          <w:sz w:val="28"/>
          <w:szCs w:val="28"/>
        </w:rPr>
        <w:t xml:space="preserve">liên quan đến việc </w:t>
      </w:r>
      <w:r w:rsidRPr="0034151C">
        <w:rPr>
          <w:sz w:val="28"/>
          <w:szCs w:val="28"/>
          <w:lang w:val="vi-VN"/>
        </w:rPr>
        <w:t>bảo đảm an toàn dự án điện hạt nhân</w:t>
      </w:r>
      <w:r w:rsidRPr="0034151C">
        <w:rPr>
          <w:sz w:val="28"/>
          <w:szCs w:val="28"/>
        </w:rPr>
        <w:t xml:space="preserve"> và xây dựng chính sách về an toàn, an ninh. </w:t>
      </w:r>
      <w:r w:rsidRPr="0034151C">
        <w:rPr>
          <w:sz w:val="28"/>
          <w:szCs w:val="28"/>
          <w:lang w:val="vi-VN"/>
        </w:rPr>
        <w:t xml:space="preserve">Trong năm 2015 đã </w:t>
      </w:r>
      <w:r w:rsidRPr="0034151C">
        <w:rPr>
          <w:sz w:val="28"/>
          <w:szCs w:val="28"/>
        </w:rPr>
        <w:t>c</w:t>
      </w:r>
      <w:r w:rsidRPr="0034151C">
        <w:rPr>
          <w:sz w:val="28"/>
          <w:szCs w:val="28"/>
          <w:lang w:val="vi-VN"/>
        </w:rPr>
        <w:t>huẩn bị nội dung, tổ chức 0</w:t>
      </w:r>
      <w:r w:rsidRPr="0034151C">
        <w:rPr>
          <w:sz w:val="28"/>
          <w:szCs w:val="28"/>
        </w:rPr>
        <w:t>2</w:t>
      </w:r>
      <w:r w:rsidRPr="0034151C">
        <w:rPr>
          <w:sz w:val="28"/>
          <w:szCs w:val="28"/>
          <w:lang w:val="vi-VN"/>
        </w:rPr>
        <w:t xml:space="preserve"> phiên họp Tiểu ban An toàn và an ninh hạt nhân về các nội dung sau</w:t>
      </w:r>
    </w:p>
    <w:p w:rsidR="00C417D3" w:rsidRPr="0034151C" w:rsidRDefault="00C417D3" w:rsidP="00C417D3">
      <w:pPr>
        <w:tabs>
          <w:tab w:val="num" w:pos="0"/>
          <w:tab w:val="left" w:pos="2040"/>
        </w:tabs>
        <w:spacing w:after="120"/>
        <w:ind w:firstLine="567"/>
        <w:jc w:val="both"/>
        <w:rPr>
          <w:sz w:val="28"/>
          <w:szCs w:val="28"/>
          <w:lang w:val="vi-VN"/>
        </w:rPr>
      </w:pPr>
      <w:r w:rsidRPr="0034151C">
        <w:rPr>
          <w:sz w:val="28"/>
          <w:szCs w:val="28"/>
          <w:lang w:val="vi-VN"/>
        </w:rPr>
        <w:t>- Soạn thảo các văn bản quy phạm pháp luật phục vụ triển khai dự án điện hạt nhân; áp dụng các tiêu chuẩn, quy chuẩn an toàn cho dự án điện hạt nhân Ninh Thuận;</w:t>
      </w:r>
    </w:p>
    <w:p w:rsidR="00C417D3" w:rsidRPr="0034151C" w:rsidRDefault="00C417D3" w:rsidP="00C417D3">
      <w:pPr>
        <w:tabs>
          <w:tab w:val="num" w:pos="0"/>
          <w:tab w:val="left" w:pos="2040"/>
        </w:tabs>
        <w:spacing w:after="120"/>
        <w:ind w:firstLine="567"/>
        <w:jc w:val="both"/>
        <w:rPr>
          <w:sz w:val="28"/>
          <w:szCs w:val="28"/>
          <w:lang w:val="vi-VN"/>
        </w:rPr>
      </w:pPr>
      <w:r w:rsidRPr="0034151C">
        <w:rPr>
          <w:sz w:val="28"/>
          <w:szCs w:val="28"/>
          <w:lang w:val="vi-VN"/>
        </w:rPr>
        <w:t>- Công tác chuẩn bị và tổ chức thẩm định báo cáo phân tích an toàn; thanh tra an toàn trong khảo sát địa điểm</w:t>
      </w:r>
    </w:p>
    <w:p w:rsidR="00C417D3" w:rsidRPr="0034151C" w:rsidRDefault="00C417D3" w:rsidP="00C417D3">
      <w:pPr>
        <w:tabs>
          <w:tab w:val="num" w:pos="0"/>
          <w:tab w:val="left" w:pos="2040"/>
        </w:tabs>
        <w:spacing w:after="120"/>
        <w:ind w:firstLine="567"/>
        <w:jc w:val="both"/>
        <w:rPr>
          <w:sz w:val="28"/>
          <w:szCs w:val="28"/>
          <w:lang w:val="vi-VN"/>
        </w:rPr>
      </w:pPr>
      <w:r w:rsidRPr="0034151C">
        <w:rPr>
          <w:sz w:val="28"/>
          <w:szCs w:val="28"/>
          <w:lang w:val="vi-VN"/>
        </w:rPr>
        <w:t>- Các biện pháp bảo đảm an ninh và bảo vệ nhà máy điện hạt nhân Ninh Thuận 1 và Ninh Thuận 2;</w:t>
      </w:r>
    </w:p>
    <w:p w:rsidR="00C417D3" w:rsidRPr="0034151C" w:rsidRDefault="00C417D3" w:rsidP="00C417D3">
      <w:pPr>
        <w:tabs>
          <w:tab w:val="num" w:pos="0"/>
          <w:tab w:val="left" w:pos="2040"/>
        </w:tabs>
        <w:spacing w:after="120"/>
        <w:ind w:firstLine="567"/>
        <w:jc w:val="both"/>
        <w:rPr>
          <w:sz w:val="28"/>
          <w:szCs w:val="28"/>
          <w:lang w:val="vi-VN"/>
        </w:rPr>
      </w:pPr>
      <w:r w:rsidRPr="0034151C">
        <w:rPr>
          <w:sz w:val="28"/>
          <w:szCs w:val="28"/>
          <w:lang w:val="vi-VN"/>
        </w:rPr>
        <w:t>- Kế hoạch ứng phó sự cố tại nhà máy điện hạt nhân Ninh Thuận 1 và Ninh Thuận 2; Tình hình triển khai thực hiện Quy hoạch mạng lưới quan trắc và cảnh báo phóng xạ môi trường quốc gia;</w:t>
      </w:r>
    </w:p>
    <w:p w:rsidR="00C417D3" w:rsidRPr="0034151C" w:rsidRDefault="00C417D3" w:rsidP="00C417D3">
      <w:pPr>
        <w:tabs>
          <w:tab w:val="num" w:pos="0"/>
          <w:tab w:val="left" w:pos="2040"/>
        </w:tabs>
        <w:spacing w:after="120"/>
        <w:ind w:firstLine="567"/>
        <w:jc w:val="both"/>
        <w:rPr>
          <w:sz w:val="28"/>
          <w:szCs w:val="28"/>
          <w:lang w:val="vi-VN"/>
        </w:rPr>
      </w:pPr>
      <w:r w:rsidRPr="0034151C">
        <w:rPr>
          <w:sz w:val="28"/>
          <w:szCs w:val="28"/>
          <w:lang w:val="vi-VN"/>
        </w:rPr>
        <w:t>- Kế hoạch triển khai thực hiện các khuyến cáo của Đoàn đánh giá pháp quy tích hợp IRRS-2014 của IAEA và phát triển cơ sở hạ tầng an ninh hạt nhân;</w:t>
      </w:r>
    </w:p>
    <w:p w:rsidR="00C417D3" w:rsidRPr="0034151C" w:rsidRDefault="00C417D3" w:rsidP="00C417D3">
      <w:pPr>
        <w:spacing w:after="120"/>
        <w:ind w:firstLine="567"/>
        <w:jc w:val="both"/>
        <w:rPr>
          <w:b/>
          <w:sz w:val="28"/>
          <w:szCs w:val="28"/>
          <w:lang w:val="vi-VN"/>
        </w:rPr>
      </w:pPr>
      <w:r w:rsidRPr="0034151C">
        <w:rPr>
          <w:sz w:val="28"/>
          <w:szCs w:val="28"/>
          <w:lang w:val="vi-VN"/>
        </w:rPr>
        <w:t>- Tham gia và thực hiện các điều ước quốc tế về an toàn, an ninh, không phổ biến vũ khí hạt nhân và bồi thường thiệt hại hạt nhân</w:t>
      </w:r>
      <w:r w:rsidR="00FC1034" w:rsidRPr="0034151C">
        <w:rPr>
          <w:sz w:val="28"/>
          <w:szCs w:val="28"/>
          <w:lang w:val="vi-VN"/>
        </w:rPr>
        <w:t>.</w:t>
      </w:r>
    </w:p>
    <w:p w:rsidR="00021BF1" w:rsidRPr="0034151C" w:rsidRDefault="00371BED" w:rsidP="00727305">
      <w:pPr>
        <w:widowControl w:val="0"/>
        <w:tabs>
          <w:tab w:val="left" w:pos="180"/>
          <w:tab w:val="left" w:pos="360"/>
          <w:tab w:val="left" w:pos="540"/>
        </w:tabs>
        <w:autoSpaceDE w:val="0"/>
        <w:autoSpaceDN w:val="0"/>
        <w:spacing w:after="120"/>
        <w:ind w:firstLine="567"/>
        <w:jc w:val="both"/>
        <w:rPr>
          <w:b/>
          <w:color w:val="0000FF"/>
          <w:sz w:val="28"/>
          <w:szCs w:val="28"/>
          <w:lang w:val="de-DE"/>
        </w:rPr>
      </w:pPr>
      <w:r>
        <w:rPr>
          <w:b/>
          <w:color w:val="0000FF"/>
          <w:sz w:val="28"/>
          <w:szCs w:val="28"/>
          <w:lang w:val="de-DE"/>
        </w:rPr>
        <w:t>2</w:t>
      </w:r>
      <w:r w:rsidR="00AC58F1" w:rsidRPr="0034151C">
        <w:rPr>
          <w:b/>
          <w:color w:val="0000FF"/>
          <w:sz w:val="28"/>
          <w:szCs w:val="28"/>
          <w:lang w:val="de-DE"/>
        </w:rPr>
        <w:t>.</w:t>
      </w:r>
      <w:r w:rsidR="00C417D3" w:rsidRPr="0034151C">
        <w:rPr>
          <w:b/>
          <w:color w:val="0000FF"/>
          <w:sz w:val="28"/>
          <w:szCs w:val="28"/>
          <w:lang w:val="de-DE"/>
        </w:rPr>
        <w:t>1</w:t>
      </w:r>
      <w:r w:rsidR="007005A8" w:rsidRPr="0034151C">
        <w:rPr>
          <w:b/>
          <w:color w:val="0000FF"/>
          <w:sz w:val="28"/>
          <w:szCs w:val="28"/>
          <w:lang w:val="de-DE"/>
        </w:rPr>
        <w:t>2</w:t>
      </w:r>
      <w:r w:rsidR="00021BF1" w:rsidRPr="0034151C">
        <w:rPr>
          <w:b/>
          <w:color w:val="0000FF"/>
          <w:sz w:val="28"/>
          <w:szCs w:val="28"/>
          <w:lang w:val="de-DE"/>
        </w:rPr>
        <w:t>. Công tác triển khai dịch vụ</w:t>
      </w:r>
    </w:p>
    <w:p w:rsidR="0089341B" w:rsidRPr="0034151C" w:rsidRDefault="0089341B" w:rsidP="00727305">
      <w:pPr>
        <w:spacing w:after="120"/>
        <w:ind w:right="101" w:firstLine="567"/>
        <w:jc w:val="both"/>
        <w:rPr>
          <w:b/>
          <w:i/>
          <w:sz w:val="28"/>
          <w:szCs w:val="28"/>
          <w:lang w:val="vi-VN"/>
        </w:rPr>
      </w:pPr>
      <w:r w:rsidRPr="0034151C">
        <w:rPr>
          <w:b/>
          <w:i/>
          <w:sz w:val="28"/>
          <w:szCs w:val="28"/>
        </w:rPr>
        <w:t>(i)</w:t>
      </w:r>
      <w:r w:rsidRPr="0034151C">
        <w:rPr>
          <w:b/>
          <w:i/>
          <w:sz w:val="28"/>
          <w:szCs w:val="28"/>
          <w:lang w:val="vi-VN"/>
        </w:rPr>
        <w:t>. Hoạt động đào tạo an toàn bức xạ</w:t>
      </w:r>
    </w:p>
    <w:p w:rsidR="0089341B" w:rsidRPr="0034151C" w:rsidRDefault="0089341B" w:rsidP="00727305">
      <w:pPr>
        <w:spacing w:after="120"/>
        <w:ind w:right="101" w:firstLine="567"/>
        <w:jc w:val="both"/>
        <w:rPr>
          <w:sz w:val="28"/>
          <w:szCs w:val="28"/>
          <w:lang w:val="vi-VN"/>
        </w:rPr>
      </w:pPr>
      <w:r w:rsidRPr="0034151C">
        <w:rPr>
          <w:sz w:val="28"/>
          <w:szCs w:val="28"/>
          <w:lang w:val="vi-VN"/>
        </w:rPr>
        <w:lastRenderedPageBreak/>
        <w:tab/>
        <w:t xml:space="preserve">Trong năm 2015, Trung tâm HTKT thuộc Cục đã tổ chức 15 lớp đào tạo ATBX, kiểm định viên X quang chẩn đoán y tế với tổng số gần 507 học viên tại Hà Nội, Cần Thơ; Bắc Ninh, Đằ Nẵng, Khánh Hòa, Hải Phòng…; cử 23 lượt người phối hợp với Công ty NDE, Viện Khoa học kỹ thuật hạt nhân và các Công ty để tham gia giảng dạy các  khóa đào tạo ATBX theo đề nghị của Công đoàn Cục; cử 02 cán bộ phối hợp với trường Quản lý Khoa học và công nghệ tổ chức lớp tập huấn nghiệp vụ an toàn bức xạ hạt nhân. </w:t>
      </w:r>
    </w:p>
    <w:p w:rsidR="0089341B" w:rsidRPr="0034151C" w:rsidRDefault="0089341B" w:rsidP="00727305">
      <w:pPr>
        <w:widowControl w:val="0"/>
        <w:tabs>
          <w:tab w:val="left" w:pos="180"/>
          <w:tab w:val="left" w:pos="360"/>
          <w:tab w:val="left" w:pos="540"/>
        </w:tabs>
        <w:autoSpaceDE w:val="0"/>
        <w:autoSpaceDN w:val="0"/>
        <w:spacing w:after="120"/>
        <w:ind w:firstLine="567"/>
        <w:jc w:val="both"/>
        <w:rPr>
          <w:sz w:val="28"/>
          <w:szCs w:val="28"/>
        </w:rPr>
      </w:pPr>
      <w:r w:rsidRPr="0034151C">
        <w:rPr>
          <w:sz w:val="28"/>
          <w:szCs w:val="28"/>
          <w:lang w:val="vi-VN"/>
        </w:rPr>
        <w:t>Tổng doanh số các hợp đồng đào tạo trong năm 2015 ước đạt khoảng 891 triệu đồng.</w:t>
      </w:r>
    </w:p>
    <w:p w:rsidR="0089341B" w:rsidRPr="0034151C" w:rsidRDefault="0089341B" w:rsidP="00727305">
      <w:pPr>
        <w:widowControl w:val="0"/>
        <w:tabs>
          <w:tab w:val="left" w:pos="180"/>
          <w:tab w:val="left" w:pos="360"/>
          <w:tab w:val="left" w:pos="540"/>
        </w:tabs>
        <w:autoSpaceDE w:val="0"/>
        <w:autoSpaceDN w:val="0"/>
        <w:spacing w:after="120"/>
        <w:ind w:firstLine="567"/>
        <w:jc w:val="both"/>
        <w:rPr>
          <w:b/>
          <w:sz w:val="28"/>
          <w:szCs w:val="28"/>
        </w:rPr>
      </w:pPr>
      <w:r w:rsidRPr="0034151C">
        <w:rPr>
          <w:b/>
          <w:i/>
          <w:sz w:val="28"/>
          <w:szCs w:val="28"/>
        </w:rPr>
        <w:t>(ii)</w:t>
      </w:r>
      <w:r w:rsidRPr="0034151C">
        <w:rPr>
          <w:b/>
          <w:i/>
          <w:sz w:val="28"/>
          <w:szCs w:val="28"/>
          <w:lang w:val="vi-VN"/>
        </w:rPr>
        <w:t>. Công tác triển khai các dịch vụ an toàn bức xạ</w:t>
      </w:r>
    </w:p>
    <w:p w:rsidR="00FC44A3" w:rsidRPr="0034151C" w:rsidRDefault="00FC44A3" w:rsidP="00727305">
      <w:pPr>
        <w:spacing w:after="120"/>
        <w:ind w:right="101" w:firstLine="567"/>
        <w:jc w:val="both"/>
        <w:rPr>
          <w:sz w:val="28"/>
          <w:szCs w:val="28"/>
        </w:rPr>
      </w:pPr>
      <w:r w:rsidRPr="0034151C">
        <w:rPr>
          <w:sz w:val="28"/>
          <w:szCs w:val="28"/>
          <w:lang w:val="sv-SE"/>
        </w:rPr>
        <w:t>-  T</w:t>
      </w:r>
      <w:r w:rsidRPr="0034151C">
        <w:rPr>
          <w:sz w:val="28"/>
          <w:szCs w:val="28"/>
          <w:lang w:val="vi-VN"/>
        </w:rPr>
        <w:t xml:space="preserve">hực hiện các hợp đồng đo đánh giá an toàn bức xạ cho cơ sở bức xạ tại Hải Dương, Hà Nội, Thái Nguyên, Quảng Ngãi, Sơn </w:t>
      </w:r>
      <w:r w:rsidRPr="0034151C">
        <w:rPr>
          <w:sz w:val="28"/>
          <w:szCs w:val="28"/>
          <w:lang w:val="sv-SE"/>
        </w:rPr>
        <w:t>L</w:t>
      </w:r>
      <w:r w:rsidRPr="0034151C">
        <w:rPr>
          <w:sz w:val="28"/>
          <w:szCs w:val="28"/>
          <w:lang w:val="vi-VN"/>
        </w:rPr>
        <w:t>a, Bình Dương;</w:t>
      </w:r>
      <w:r w:rsidR="0089341B" w:rsidRPr="0034151C">
        <w:rPr>
          <w:sz w:val="28"/>
          <w:szCs w:val="28"/>
        </w:rPr>
        <w:t xml:space="preserve"> </w:t>
      </w:r>
      <w:r w:rsidR="0089341B" w:rsidRPr="0034151C">
        <w:rPr>
          <w:sz w:val="28"/>
          <w:szCs w:val="28"/>
          <w:lang w:val="vi-VN"/>
        </w:rPr>
        <w:t>đo phông phóng xạ môi trường tại Khánh Hòa, Hồ Chí Minh và Cần Thơ với Bộ Tư lệnh cảnh vệ</w:t>
      </w:r>
    </w:p>
    <w:p w:rsidR="00FC44A3" w:rsidRPr="0034151C" w:rsidRDefault="00FC44A3" w:rsidP="00727305">
      <w:pPr>
        <w:spacing w:after="120"/>
        <w:ind w:right="101" w:firstLine="567"/>
        <w:jc w:val="both"/>
        <w:rPr>
          <w:sz w:val="28"/>
          <w:szCs w:val="28"/>
          <w:lang w:val="vi-VN"/>
        </w:rPr>
      </w:pPr>
      <w:r w:rsidRPr="0034151C">
        <w:rPr>
          <w:sz w:val="28"/>
          <w:szCs w:val="28"/>
          <w:lang w:val="vi-VN"/>
        </w:rPr>
        <w:t>- Thực hiện các hợp đồng tư vấn lập Hồ sơ xin cấp phép nhập khẩu, vận chuyển nguồn phóng xạ, hồ sơ xin cấp phép sử dụng nguồn, thiết bị phát bức xạ. Tính đến hết ngày 30/10/2015, Trung tâm đã thực hiện gần 37 hợp đồng với tổng doanh số gần 1 tỷ đồng;</w:t>
      </w:r>
    </w:p>
    <w:p w:rsidR="00FC44A3" w:rsidRPr="0034151C" w:rsidRDefault="00FC44A3" w:rsidP="00727305">
      <w:pPr>
        <w:spacing w:after="120"/>
        <w:ind w:right="101" w:firstLine="567"/>
        <w:jc w:val="both"/>
        <w:rPr>
          <w:sz w:val="28"/>
          <w:szCs w:val="28"/>
          <w:lang w:val="vi-VN"/>
        </w:rPr>
      </w:pPr>
      <w:r w:rsidRPr="0034151C">
        <w:rPr>
          <w:sz w:val="28"/>
          <w:szCs w:val="28"/>
          <w:lang w:val="vi-VN"/>
        </w:rPr>
        <w:t>-   Phối hợp với Sở KHCN tỉnh Hà Tĩnh, Đà Nẵng, Quảng Ninh để thực hiện và bảo vệ nghi</w:t>
      </w:r>
      <w:r w:rsidR="0089341B" w:rsidRPr="0034151C">
        <w:rPr>
          <w:sz w:val="28"/>
          <w:szCs w:val="28"/>
          <w:lang w:val="vi-VN"/>
        </w:rPr>
        <w:t xml:space="preserve">ệm thu đề tài KHCN cấp tỉnh; </w:t>
      </w:r>
      <w:r w:rsidRPr="0034151C">
        <w:rPr>
          <w:sz w:val="28"/>
          <w:szCs w:val="28"/>
          <w:lang w:val="vi-VN"/>
        </w:rPr>
        <w:t>chuẩn bị tổ chức bảo vệ các đề tài khoa học cấp tỉnh năm 2015- 2016 mà trung tâm đã ký với các tỉnh Bến Tre, Quảng Nam, Kon Tum, Gia Lai, Điện Biên</w:t>
      </w:r>
      <w:r w:rsidR="0089341B" w:rsidRPr="0034151C">
        <w:rPr>
          <w:sz w:val="28"/>
          <w:szCs w:val="28"/>
          <w:lang w:val="vi-VN"/>
        </w:rPr>
        <w:t>; t</w:t>
      </w:r>
      <w:r w:rsidRPr="0034151C">
        <w:rPr>
          <w:sz w:val="28"/>
          <w:szCs w:val="28"/>
          <w:lang w:val="vi-VN"/>
        </w:rPr>
        <w:t>hực hiện hợp đồng khoa học cấp tỉnh về Xây dựng kế hoạch UPSC với tỉnh Lâm Đồng, Ninh Bình, Hải Dương; Bình Định, Hà Gian</w:t>
      </w:r>
      <w:r w:rsidR="0089341B" w:rsidRPr="0034151C">
        <w:rPr>
          <w:sz w:val="28"/>
          <w:szCs w:val="28"/>
          <w:lang w:val="vi-VN"/>
        </w:rPr>
        <w:t xml:space="preserve">g; Tuyên Quang, Phú Yên, Hà Nam cũng như </w:t>
      </w:r>
      <w:r w:rsidR="0089341B" w:rsidRPr="0034151C">
        <w:rPr>
          <w:sz w:val="28"/>
          <w:szCs w:val="28"/>
          <w:lang w:val="pt-BR"/>
        </w:rPr>
        <w:t>kế hoạch ứng phó sự cố cho các cơ sở bức xạ.</w:t>
      </w:r>
    </w:p>
    <w:p w:rsidR="00FC44A3" w:rsidRPr="0034151C" w:rsidRDefault="00FC44A3" w:rsidP="00727305">
      <w:pPr>
        <w:spacing w:after="120"/>
        <w:ind w:right="101" w:firstLine="567"/>
        <w:jc w:val="both"/>
        <w:rPr>
          <w:sz w:val="28"/>
          <w:szCs w:val="28"/>
          <w:lang w:val="vi-VN"/>
        </w:rPr>
      </w:pPr>
      <w:r w:rsidRPr="0034151C">
        <w:rPr>
          <w:sz w:val="28"/>
          <w:szCs w:val="28"/>
          <w:lang w:val="vi-VN"/>
        </w:rPr>
        <w:t>- Thực hiện đo đánh giá an toàn bức xạ tại kho lưu giữ nguồn</w:t>
      </w:r>
      <w:r w:rsidR="0089341B" w:rsidRPr="0034151C">
        <w:rPr>
          <w:sz w:val="28"/>
          <w:szCs w:val="28"/>
          <w:lang w:val="vi-VN"/>
        </w:rPr>
        <w:t xml:space="preserve"> phóng xạ cho các cơ sở bức xạ</w:t>
      </w:r>
      <w:r w:rsidRPr="0034151C">
        <w:rPr>
          <w:sz w:val="28"/>
          <w:szCs w:val="28"/>
          <w:lang w:val="vi-VN"/>
        </w:rPr>
        <w:t>.</w:t>
      </w:r>
    </w:p>
    <w:p w:rsidR="00813BA2" w:rsidRPr="0034151C" w:rsidRDefault="00371BED" w:rsidP="00C417D3">
      <w:pPr>
        <w:spacing w:after="120"/>
        <w:jc w:val="both"/>
        <w:rPr>
          <w:b/>
          <w:color w:val="0000FF"/>
          <w:sz w:val="28"/>
          <w:szCs w:val="28"/>
          <w:lang w:val="de-DE"/>
        </w:rPr>
      </w:pPr>
      <w:r>
        <w:rPr>
          <w:b/>
          <w:color w:val="0000FF"/>
          <w:sz w:val="28"/>
          <w:szCs w:val="28"/>
          <w:lang w:val="de-DE"/>
        </w:rPr>
        <w:t>3</w:t>
      </w:r>
      <w:r w:rsidR="00FC2087" w:rsidRPr="0034151C">
        <w:rPr>
          <w:b/>
          <w:color w:val="0000FF"/>
          <w:sz w:val="28"/>
          <w:szCs w:val="28"/>
          <w:lang w:val="de-DE"/>
        </w:rPr>
        <w:t xml:space="preserve">. </w:t>
      </w:r>
      <w:r w:rsidR="004F30CA" w:rsidRPr="0034151C">
        <w:rPr>
          <w:b/>
          <w:color w:val="0000FF"/>
          <w:sz w:val="28"/>
          <w:szCs w:val="28"/>
          <w:lang w:val="de-DE"/>
        </w:rPr>
        <w:t>Những vấn đề còn tồn tại</w:t>
      </w:r>
      <w:r w:rsidR="00813BA2" w:rsidRPr="0034151C">
        <w:rPr>
          <w:b/>
          <w:color w:val="0000FF"/>
          <w:sz w:val="28"/>
          <w:szCs w:val="28"/>
          <w:lang w:val="de-DE"/>
        </w:rPr>
        <w:t>.</w:t>
      </w:r>
    </w:p>
    <w:p w:rsidR="00813BA2" w:rsidRPr="0034151C" w:rsidRDefault="00371BED" w:rsidP="00C417D3">
      <w:pPr>
        <w:spacing w:after="120"/>
        <w:jc w:val="both"/>
        <w:rPr>
          <w:b/>
          <w:color w:val="0000FF"/>
          <w:sz w:val="28"/>
          <w:szCs w:val="28"/>
          <w:lang w:val="de-DE"/>
        </w:rPr>
      </w:pPr>
      <w:r>
        <w:rPr>
          <w:b/>
          <w:color w:val="0000FF"/>
          <w:sz w:val="28"/>
          <w:szCs w:val="28"/>
          <w:lang w:val="de-DE"/>
        </w:rPr>
        <w:t>3</w:t>
      </w:r>
      <w:r w:rsidR="00813BA2" w:rsidRPr="0034151C">
        <w:rPr>
          <w:b/>
          <w:color w:val="0000FF"/>
          <w:sz w:val="28"/>
          <w:szCs w:val="28"/>
          <w:lang w:val="de-DE"/>
        </w:rPr>
        <w:t>.1. Những vấn đề còn tồn tại trong hoạt động chung của Cục.</w:t>
      </w:r>
    </w:p>
    <w:p w:rsidR="004C0684" w:rsidRPr="0034151C" w:rsidRDefault="00813BA2" w:rsidP="00813BA2">
      <w:pPr>
        <w:spacing w:after="120"/>
        <w:ind w:firstLine="720"/>
        <w:jc w:val="both"/>
        <w:rPr>
          <w:sz w:val="28"/>
          <w:szCs w:val="28"/>
          <w:lang w:val="de-DE"/>
        </w:rPr>
      </w:pPr>
      <w:r w:rsidRPr="0034151C">
        <w:rPr>
          <w:sz w:val="28"/>
          <w:szCs w:val="28"/>
          <w:lang w:val="de-DE"/>
        </w:rPr>
        <w:t xml:space="preserve">Trong năm 2015, liên quan tới đơn thư khiếu nại, tố cáo </w:t>
      </w:r>
      <w:r w:rsidR="00D66BFB">
        <w:rPr>
          <w:sz w:val="28"/>
          <w:szCs w:val="28"/>
          <w:lang w:val="de-DE"/>
        </w:rPr>
        <w:t xml:space="preserve">của một cá nhân </w:t>
      </w:r>
      <w:r w:rsidRPr="0034151C">
        <w:rPr>
          <w:sz w:val="28"/>
          <w:szCs w:val="28"/>
          <w:lang w:val="de-DE"/>
        </w:rPr>
        <w:t xml:space="preserve">gửi </w:t>
      </w:r>
      <w:r w:rsidR="004C0684" w:rsidRPr="0034151C">
        <w:rPr>
          <w:sz w:val="28"/>
          <w:szCs w:val="28"/>
          <w:lang w:val="de-DE"/>
        </w:rPr>
        <w:t>Ủy ban kiểm tra TW</w:t>
      </w:r>
      <w:r w:rsidR="006F0142">
        <w:rPr>
          <w:sz w:val="28"/>
          <w:szCs w:val="28"/>
          <w:lang w:val="de-DE"/>
        </w:rPr>
        <w:t>, các cơ quan có liên quan</w:t>
      </w:r>
      <w:r w:rsidR="004C0684" w:rsidRPr="0034151C">
        <w:rPr>
          <w:sz w:val="28"/>
          <w:szCs w:val="28"/>
          <w:lang w:val="de-DE"/>
        </w:rPr>
        <w:t xml:space="preserve"> và </w:t>
      </w:r>
      <w:r w:rsidR="007A78DD">
        <w:rPr>
          <w:sz w:val="28"/>
          <w:szCs w:val="28"/>
          <w:lang w:val="de-DE"/>
        </w:rPr>
        <w:t>Bộ KH&amp;CN</w:t>
      </w:r>
      <w:r w:rsidR="004C0684" w:rsidRPr="0034151C">
        <w:rPr>
          <w:sz w:val="28"/>
          <w:szCs w:val="28"/>
          <w:lang w:val="de-DE"/>
        </w:rPr>
        <w:t>, Cục đã thể hiện trách nhiệm cao, tinh thần hợp tác trong phối hợp với các tổ xác minh và đoàn kiểm tra</w:t>
      </w:r>
      <w:r w:rsidR="007A78DD">
        <w:rPr>
          <w:sz w:val="28"/>
          <w:szCs w:val="28"/>
          <w:lang w:val="de-DE"/>
        </w:rPr>
        <w:t xml:space="preserve"> </w:t>
      </w:r>
      <w:r w:rsidR="00D66BFB">
        <w:rPr>
          <w:sz w:val="28"/>
          <w:szCs w:val="28"/>
          <w:lang w:val="de-DE"/>
        </w:rPr>
        <w:t>đ</w:t>
      </w:r>
      <w:r w:rsidR="007A78DD">
        <w:rPr>
          <w:sz w:val="28"/>
          <w:szCs w:val="28"/>
          <w:lang w:val="de-DE"/>
        </w:rPr>
        <w:t>ể</w:t>
      </w:r>
      <w:r w:rsidR="004C0684" w:rsidRPr="0034151C">
        <w:rPr>
          <w:sz w:val="28"/>
          <w:szCs w:val="28"/>
          <w:lang w:val="de-DE"/>
        </w:rPr>
        <w:t xml:space="preserve"> làm rõ các nội dung tố cáo. Sau khi có kết luận của Bộ trưởng về các tồn tại của Cục theo đơn khiếu nại, tố cáo, Cục đã tích cực, nghiêm túc triển khai công tác kiểm điểm trách nhiệm của các cá nhân qua các thời kỳ liên quan tới các tồn tại theo kết luận của Bộ trưởng. Tuy nhiên, do công tác thanh, kiểm tra của các Vụ chuyên ngành theo chỉ đạo của Bộ trưởng </w:t>
      </w:r>
      <w:r w:rsidR="007A78DD">
        <w:rPr>
          <w:sz w:val="28"/>
          <w:szCs w:val="28"/>
          <w:lang w:val="de-DE"/>
        </w:rPr>
        <w:t>sau khi có</w:t>
      </w:r>
      <w:r w:rsidR="004C0684" w:rsidRPr="0034151C">
        <w:rPr>
          <w:sz w:val="28"/>
          <w:szCs w:val="28"/>
          <w:lang w:val="de-DE"/>
        </w:rPr>
        <w:t xml:space="preserve"> kiến nghị của Cục về công tác tài chín</w:t>
      </w:r>
      <w:r w:rsidR="006F0142">
        <w:rPr>
          <w:sz w:val="28"/>
          <w:szCs w:val="28"/>
          <w:lang w:val="de-DE"/>
        </w:rPr>
        <w:t>h tại Trung tâm HTKT ATBX&amp;UPSC và</w:t>
      </w:r>
      <w:r w:rsidR="004C0684" w:rsidRPr="0034151C">
        <w:rPr>
          <w:sz w:val="28"/>
          <w:szCs w:val="28"/>
          <w:lang w:val="de-DE"/>
        </w:rPr>
        <w:t xml:space="preserve"> hoạt động thu chi Quỹ đời sống của Công đoàn Cục chưa được triển khai nên Cục chưa thể làm rõ</w:t>
      </w:r>
      <w:r w:rsidR="007630D6" w:rsidRPr="0034151C">
        <w:rPr>
          <w:sz w:val="28"/>
          <w:szCs w:val="28"/>
          <w:lang w:val="de-DE"/>
        </w:rPr>
        <w:t xml:space="preserve"> trách nhiệm cá nhân liên quan để</w:t>
      </w:r>
      <w:r w:rsidR="004C0684" w:rsidRPr="0034151C">
        <w:rPr>
          <w:sz w:val="28"/>
          <w:szCs w:val="28"/>
          <w:lang w:val="de-DE"/>
        </w:rPr>
        <w:t xml:space="preserve"> đề xuất hình thức kỷ luật</w:t>
      </w:r>
      <w:r w:rsidR="007630D6" w:rsidRPr="0034151C">
        <w:rPr>
          <w:sz w:val="28"/>
          <w:szCs w:val="28"/>
          <w:lang w:val="de-DE"/>
        </w:rPr>
        <w:t xml:space="preserve"> thích hợp</w:t>
      </w:r>
      <w:r w:rsidR="004C0684" w:rsidRPr="0034151C">
        <w:rPr>
          <w:sz w:val="28"/>
          <w:szCs w:val="28"/>
          <w:lang w:val="de-DE"/>
        </w:rPr>
        <w:t xml:space="preserve"> đối với cán bộ đã tham mưu hay </w:t>
      </w:r>
      <w:r w:rsidR="00DC4114" w:rsidRPr="0034151C">
        <w:rPr>
          <w:sz w:val="28"/>
          <w:szCs w:val="28"/>
          <w:lang w:val="de-DE"/>
        </w:rPr>
        <w:t xml:space="preserve">trực tiếp có trách nhiệm với </w:t>
      </w:r>
      <w:r w:rsidR="004C0684" w:rsidRPr="0034151C">
        <w:rPr>
          <w:sz w:val="28"/>
          <w:szCs w:val="28"/>
          <w:lang w:val="de-DE"/>
        </w:rPr>
        <w:t>các tồn tại</w:t>
      </w:r>
      <w:r w:rsidR="007630D6" w:rsidRPr="0034151C">
        <w:rPr>
          <w:sz w:val="28"/>
          <w:szCs w:val="28"/>
          <w:lang w:val="de-DE"/>
        </w:rPr>
        <w:t>.</w:t>
      </w:r>
      <w:r w:rsidR="00D66BFB">
        <w:rPr>
          <w:sz w:val="28"/>
          <w:szCs w:val="28"/>
          <w:lang w:val="de-DE"/>
        </w:rPr>
        <w:t xml:space="preserve"> </w:t>
      </w:r>
    </w:p>
    <w:p w:rsidR="007630D6" w:rsidRPr="0034151C" w:rsidRDefault="007630D6" w:rsidP="00813BA2">
      <w:pPr>
        <w:spacing w:after="120"/>
        <w:ind w:firstLine="720"/>
        <w:jc w:val="both"/>
        <w:rPr>
          <w:sz w:val="28"/>
          <w:szCs w:val="28"/>
          <w:lang w:val="de-DE"/>
        </w:rPr>
      </w:pPr>
      <w:r w:rsidRPr="0034151C">
        <w:rPr>
          <w:sz w:val="28"/>
          <w:szCs w:val="28"/>
          <w:lang w:val="de-DE"/>
        </w:rPr>
        <w:t xml:space="preserve">Bên cạnh đó, liên quan tới trách nhiệm Đảng viên trong thực hiện điều lệ Đảng, Chi bộ đã họp kiểm điểm và trên cơ sở các sai phạm liên quan tới các điều </w:t>
      </w:r>
      <w:r w:rsidRPr="0034151C">
        <w:rPr>
          <w:sz w:val="28"/>
          <w:szCs w:val="28"/>
          <w:lang w:val="de-DE"/>
        </w:rPr>
        <w:lastRenderedPageBreak/>
        <w:t xml:space="preserve">Đảng viên không được làm theo quy định, Chi Bộ Cục đã biểu quyết </w:t>
      </w:r>
      <w:r w:rsidR="00D66BFB">
        <w:rPr>
          <w:sz w:val="28"/>
          <w:szCs w:val="28"/>
          <w:lang w:val="de-DE"/>
        </w:rPr>
        <w:t>và Chi ủy đã ban hành Quyết</w:t>
      </w:r>
      <w:r w:rsidRPr="0034151C">
        <w:rPr>
          <w:sz w:val="28"/>
          <w:szCs w:val="28"/>
          <w:lang w:val="de-DE"/>
        </w:rPr>
        <w:t xml:space="preserve"> định kỷ luật đảng đối với một đảng viên trong Chi bộ. Hiện tại, Chi ủy Chi bộ Cục đang làm việc với Ủy ban kiểm tra Đảng ủy Bộ xem xét khiếu nại của Đảng viên bị kỷ luật</w:t>
      </w:r>
      <w:r w:rsidR="00D66BFB">
        <w:rPr>
          <w:sz w:val="28"/>
          <w:szCs w:val="28"/>
          <w:lang w:val="de-DE"/>
        </w:rPr>
        <w:t xml:space="preserve"> về quy trình tiến hành kỷ luật đảng</w:t>
      </w:r>
      <w:r w:rsidRPr="0034151C">
        <w:rPr>
          <w:sz w:val="28"/>
          <w:szCs w:val="28"/>
          <w:lang w:val="de-DE"/>
        </w:rPr>
        <w:t xml:space="preserve">. </w:t>
      </w:r>
      <w:r w:rsidR="00D66BFB">
        <w:rPr>
          <w:sz w:val="28"/>
          <w:szCs w:val="28"/>
          <w:lang w:val="de-DE"/>
        </w:rPr>
        <w:t xml:space="preserve">Chi ủy cũng đã có công văn đề nghị Chính quyền có hình thức kỷ luật tương xứng. </w:t>
      </w:r>
      <w:r w:rsidR="006F0142">
        <w:rPr>
          <w:sz w:val="28"/>
          <w:szCs w:val="28"/>
          <w:lang w:val="de-DE"/>
        </w:rPr>
        <w:t>Lãnh đạo Cục cũng đã họp thảo luận về vấn đề này và thống nhất sẽ xe</w:t>
      </w:r>
      <w:r w:rsidR="00004D08">
        <w:rPr>
          <w:sz w:val="28"/>
          <w:szCs w:val="28"/>
          <w:lang w:val="de-DE"/>
        </w:rPr>
        <w:t>m xét xử lý hình thức kỷ luật của</w:t>
      </w:r>
      <w:r w:rsidR="006F0142">
        <w:rPr>
          <w:sz w:val="28"/>
          <w:szCs w:val="28"/>
          <w:lang w:val="de-DE"/>
        </w:rPr>
        <w:t xml:space="preserve"> tất cả các cán bộ có liên quan sau khi Vụ Tài chính của Bộ thực hiện kiểm tra công tác tài chính tại Trung tâm và Quỹ Đời sống từ năm 2009.</w:t>
      </w:r>
    </w:p>
    <w:p w:rsidR="004F30CA" w:rsidRPr="0034151C" w:rsidRDefault="00371BED" w:rsidP="00C417D3">
      <w:pPr>
        <w:spacing w:after="120"/>
        <w:jc w:val="both"/>
        <w:rPr>
          <w:b/>
          <w:color w:val="0000FF"/>
          <w:sz w:val="28"/>
          <w:szCs w:val="28"/>
          <w:lang w:val="de-DE"/>
        </w:rPr>
      </w:pPr>
      <w:r>
        <w:rPr>
          <w:b/>
          <w:color w:val="0000FF"/>
          <w:sz w:val="28"/>
          <w:szCs w:val="28"/>
          <w:lang w:val="de-DE"/>
        </w:rPr>
        <w:t>3</w:t>
      </w:r>
      <w:r w:rsidR="00813BA2" w:rsidRPr="0034151C">
        <w:rPr>
          <w:b/>
          <w:color w:val="0000FF"/>
          <w:sz w:val="28"/>
          <w:szCs w:val="28"/>
          <w:lang w:val="de-DE"/>
        </w:rPr>
        <w:t>.2.</w:t>
      </w:r>
      <w:r w:rsidR="005D6861" w:rsidRPr="0034151C">
        <w:rPr>
          <w:b/>
          <w:color w:val="0000FF"/>
          <w:sz w:val="28"/>
          <w:szCs w:val="28"/>
          <w:lang w:val="de-DE"/>
        </w:rPr>
        <w:t xml:space="preserve"> </w:t>
      </w:r>
      <w:r w:rsidR="00813BA2" w:rsidRPr="0034151C">
        <w:rPr>
          <w:b/>
          <w:color w:val="0000FF"/>
          <w:sz w:val="28"/>
          <w:szCs w:val="28"/>
          <w:lang w:val="de-DE"/>
        </w:rPr>
        <w:t xml:space="preserve">Tồn tại </w:t>
      </w:r>
      <w:r w:rsidR="005D6861" w:rsidRPr="0034151C">
        <w:rPr>
          <w:b/>
          <w:color w:val="0000FF"/>
          <w:sz w:val="28"/>
          <w:szCs w:val="28"/>
          <w:lang w:val="de-DE"/>
        </w:rPr>
        <w:t>trong công</w:t>
      </w:r>
      <w:r w:rsidR="00E35A7E" w:rsidRPr="0034151C">
        <w:rPr>
          <w:b/>
          <w:color w:val="0000FF"/>
          <w:sz w:val="28"/>
          <w:szCs w:val="28"/>
          <w:lang w:val="de-DE"/>
        </w:rPr>
        <w:t xml:space="preserve"> tác quản lý nhà nước và kế h</w:t>
      </w:r>
      <w:r w:rsidR="00813BA2" w:rsidRPr="0034151C">
        <w:rPr>
          <w:b/>
          <w:color w:val="0000FF"/>
          <w:sz w:val="28"/>
          <w:szCs w:val="28"/>
          <w:lang w:val="de-DE"/>
        </w:rPr>
        <w:t>ọa</w:t>
      </w:r>
      <w:r w:rsidR="005D6861" w:rsidRPr="0034151C">
        <w:rPr>
          <w:b/>
          <w:color w:val="0000FF"/>
          <w:sz w:val="28"/>
          <w:szCs w:val="28"/>
          <w:lang w:val="de-DE"/>
        </w:rPr>
        <w:t>ch khắc phục</w:t>
      </w:r>
    </w:p>
    <w:p w:rsidR="005D6861" w:rsidRPr="0034151C" w:rsidRDefault="00371BED" w:rsidP="007F1BD0">
      <w:pPr>
        <w:spacing w:after="120"/>
        <w:ind w:firstLine="567"/>
        <w:jc w:val="both"/>
        <w:rPr>
          <w:b/>
          <w:sz w:val="28"/>
          <w:szCs w:val="28"/>
          <w:lang w:val="de-DE"/>
        </w:rPr>
      </w:pPr>
      <w:r>
        <w:rPr>
          <w:b/>
          <w:sz w:val="28"/>
          <w:szCs w:val="28"/>
          <w:lang w:val="de-DE"/>
        </w:rPr>
        <w:t xml:space="preserve">1) </w:t>
      </w:r>
      <w:r w:rsidR="00E35A7E" w:rsidRPr="0034151C">
        <w:rPr>
          <w:b/>
          <w:sz w:val="28"/>
          <w:szCs w:val="28"/>
          <w:lang w:val="de-DE"/>
        </w:rPr>
        <w:t>Vẫn xảy ra sự cố mất an ninh nguồn phóng xạ và có nguồn phóng xạ nằm ngoài sự quản lý pháp quy hạt nhân</w:t>
      </w:r>
      <w:r w:rsidR="00F62F23" w:rsidRPr="0034151C">
        <w:rPr>
          <w:b/>
          <w:sz w:val="28"/>
          <w:szCs w:val="28"/>
          <w:lang w:val="de-DE"/>
        </w:rPr>
        <w:t xml:space="preserve"> trong năm 2015</w:t>
      </w:r>
      <w:r w:rsidR="00E35A7E" w:rsidRPr="0034151C">
        <w:rPr>
          <w:b/>
          <w:sz w:val="28"/>
          <w:szCs w:val="28"/>
          <w:lang w:val="de-DE"/>
        </w:rPr>
        <w:t>.</w:t>
      </w:r>
    </w:p>
    <w:p w:rsidR="00E35A7E" w:rsidRPr="0034151C" w:rsidRDefault="00E35A7E" w:rsidP="007F1BD0">
      <w:pPr>
        <w:spacing w:after="120"/>
        <w:ind w:firstLine="567"/>
        <w:jc w:val="both"/>
        <w:rPr>
          <w:sz w:val="28"/>
          <w:szCs w:val="28"/>
          <w:lang w:val="de-DE"/>
        </w:rPr>
      </w:pPr>
      <w:r w:rsidRPr="0034151C">
        <w:rPr>
          <w:b/>
          <w:sz w:val="28"/>
          <w:szCs w:val="28"/>
          <w:lang w:val="de-DE"/>
        </w:rPr>
        <w:t>Kế hoạch khắc phục</w:t>
      </w:r>
      <w:r w:rsidRPr="0034151C">
        <w:rPr>
          <w:sz w:val="28"/>
          <w:szCs w:val="28"/>
          <w:lang w:val="de-DE"/>
        </w:rPr>
        <w:t>: Tăng cường công tác thông tin tuyên truyền và phổ biến văn bản quy phạm pháp luật liên quan đến an toàn bức xạ và an ninh nguồn phóng xạ, thực hiện đầy đủ tần suất thanh tra theo quy định tại các cơ sở có sử dụng nguồn phóng xạ, tăng cường phối hợp với các sở KH&amp;CN trong công tác quản lý nhà nước về an toàn bức xạ, nghiên cứu bổ sung các chế tài xử lý đủ sức mạnh răn đe.</w:t>
      </w:r>
    </w:p>
    <w:p w:rsidR="00E35A7E" w:rsidRPr="0034151C" w:rsidRDefault="00371BED" w:rsidP="007F1BD0">
      <w:pPr>
        <w:spacing w:after="120"/>
        <w:ind w:firstLine="567"/>
        <w:jc w:val="both"/>
        <w:rPr>
          <w:b/>
          <w:sz w:val="28"/>
          <w:szCs w:val="28"/>
          <w:lang w:val="de-DE"/>
        </w:rPr>
      </w:pPr>
      <w:r>
        <w:rPr>
          <w:b/>
          <w:sz w:val="28"/>
          <w:szCs w:val="28"/>
          <w:lang w:val="de-DE"/>
        </w:rPr>
        <w:t xml:space="preserve">2) </w:t>
      </w:r>
      <w:r w:rsidR="00E35A7E" w:rsidRPr="0034151C">
        <w:rPr>
          <w:b/>
          <w:sz w:val="28"/>
          <w:szCs w:val="28"/>
          <w:lang w:val="de-DE"/>
        </w:rPr>
        <w:t xml:space="preserve">Các cơ sở làm dịch vụ đo liều chiếu xạ vẫn chưa bảo đảm thực hiện đầy đủ các yêu cầu về quản lý chiếu xạ nghề nghiệp theo quy định của pháp luật, </w:t>
      </w:r>
      <w:r w:rsidR="00604BDB" w:rsidRPr="0034151C">
        <w:rPr>
          <w:b/>
          <w:sz w:val="28"/>
          <w:szCs w:val="28"/>
          <w:lang w:val="de-DE"/>
        </w:rPr>
        <w:t>những cơ sở có sử dụng nguồn nơtr</w:t>
      </w:r>
      <w:r w:rsidR="00E35A7E" w:rsidRPr="0034151C">
        <w:rPr>
          <w:b/>
          <w:sz w:val="28"/>
          <w:szCs w:val="28"/>
          <w:lang w:val="de-DE"/>
        </w:rPr>
        <w:t>on vẫn chưa được giám sát liều chiếu xạ nơtron</w:t>
      </w:r>
    </w:p>
    <w:p w:rsidR="00E35A7E" w:rsidRPr="0034151C" w:rsidRDefault="00E35A7E" w:rsidP="007F1BD0">
      <w:pPr>
        <w:spacing w:after="120"/>
        <w:ind w:firstLine="567"/>
        <w:jc w:val="both"/>
        <w:rPr>
          <w:sz w:val="28"/>
          <w:szCs w:val="28"/>
          <w:lang w:val="de-DE"/>
        </w:rPr>
      </w:pPr>
      <w:r w:rsidRPr="0034151C">
        <w:rPr>
          <w:b/>
          <w:sz w:val="28"/>
          <w:szCs w:val="28"/>
          <w:lang w:val="de-DE"/>
        </w:rPr>
        <w:t>Kế hoạch khắc phục</w:t>
      </w:r>
      <w:r w:rsidRPr="0034151C">
        <w:rPr>
          <w:sz w:val="28"/>
          <w:szCs w:val="28"/>
          <w:lang w:val="de-DE"/>
        </w:rPr>
        <w:t>: Trong năm 2016 ban hành thông báo bắt buộc các cơ sở làm dịch vụ đo liều chiếu xạ gamma và tia X phải cam kết thực hiện đầy đủ các yêu cầu về quản lý liều xạ nghề nghiệp theo quy định của pháp luật, bắt đầu tiến hành công tác quản lý liều chiếu xạ n</w:t>
      </w:r>
      <w:r w:rsidR="00FC1034" w:rsidRPr="0034151C">
        <w:rPr>
          <w:sz w:val="28"/>
          <w:szCs w:val="28"/>
          <w:lang w:val="de-DE"/>
        </w:rPr>
        <w:t>ơ</w:t>
      </w:r>
      <w:r w:rsidRPr="0034151C">
        <w:rPr>
          <w:sz w:val="28"/>
          <w:szCs w:val="28"/>
          <w:lang w:val="de-DE"/>
        </w:rPr>
        <w:t>tron khi phòng chuẩn liều nơtron được thiết lập trong khuôn khổ đề tài của Chương trình KC-05 đi vào hoạt động.</w:t>
      </w:r>
    </w:p>
    <w:p w:rsidR="00E35A7E" w:rsidRPr="0034151C" w:rsidRDefault="00371BED" w:rsidP="007F1BD0">
      <w:pPr>
        <w:spacing w:after="120"/>
        <w:ind w:firstLine="567"/>
        <w:jc w:val="both"/>
        <w:rPr>
          <w:b/>
          <w:sz w:val="28"/>
          <w:szCs w:val="28"/>
          <w:lang w:val="de-DE"/>
        </w:rPr>
      </w:pPr>
      <w:r>
        <w:rPr>
          <w:b/>
          <w:sz w:val="28"/>
          <w:szCs w:val="28"/>
          <w:lang w:val="de-DE"/>
        </w:rPr>
        <w:t>3)</w:t>
      </w:r>
      <w:r w:rsidR="007F1BD0" w:rsidRPr="0034151C">
        <w:rPr>
          <w:b/>
          <w:sz w:val="28"/>
          <w:szCs w:val="28"/>
          <w:lang w:val="de-DE"/>
        </w:rPr>
        <w:t xml:space="preserve"> </w:t>
      </w:r>
      <w:r w:rsidR="00604BDB" w:rsidRPr="0034151C">
        <w:rPr>
          <w:b/>
          <w:sz w:val="28"/>
          <w:szCs w:val="28"/>
          <w:lang w:val="de-DE"/>
        </w:rPr>
        <w:t>Chất lượng công tác soạn thảo văn bản quy phạm phục vụ quản lý an toàn bức xạ, an toàn hạt nhân vẫn c</w:t>
      </w:r>
      <w:r w:rsidR="00FC1034" w:rsidRPr="0034151C">
        <w:rPr>
          <w:b/>
          <w:sz w:val="28"/>
          <w:szCs w:val="28"/>
          <w:lang w:val="de-DE"/>
        </w:rPr>
        <w:t>ò</w:t>
      </w:r>
      <w:r w:rsidR="00604BDB" w:rsidRPr="0034151C">
        <w:rPr>
          <w:b/>
          <w:sz w:val="28"/>
          <w:szCs w:val="28"/>
          <w:lang w:val="de-DE"/>
        </w:rPr>
        <w:t>n có vấn đề, cụ thể vẫn có những văn bản sa</w:t>
      </w:r>
      <w:r w:rsidR="00DD55C0" w:rsidRPr="0034151C">
        <w:rPr>
          <w:b/>
          <w:sz w:val="28"/>
          <w:szCs w:val="28"/>
          <w:lang w:val="de-DE"/>
        </w:rPr>
        <w:t>u</w:t>
      </w:r>
      <w:r w:rsidR="00604BDB" w:rsidRPr="0034151C">
        <w:rPr>
          <w:b/>
          <w:sz w:val="28"/>
          <w:szCs w:val="28"/>
          <w:lang w:val="de-DE"/>
        </w:rPr>
        <w:t xml:space="preserve"> khi ban hành đã có ý kiến của đối tượng ch</w:t>
      </w:r>
      <w:r w:rsidR="00FC1034" w:rsidRPr="0034151C">
        <w:rPr>
          <w:b/>
          <w:sz w:val="28"/>
          <w:szCs w:val="28"/>
          <w:lang w:val="de-DE"/>
        </w:rPr>
        <w:t>ị</w:t>
      </w:r>
      <w:r w:rsidR="00604BDB" w:rsidRPr="0034151C">
        <w:rPr>
          <w:b/>
          <w:sz w:val="28"/>
          <w:szCs w:val="28"/>
          <w:lang w:val="de-DE"/>
        </w:rPr>
        <w:t>u sự điề</w:t>
      </w:r>
      <w:r w:rsidR="00F62F23" w:rsidRPr="0034151C">
        <w:rPr>
          <w:b/>
          <w:sz w:val="28"/>
          <w:szCs w:val="28"/>
          <w:lang w:val="de-DE"/>
        </w:rPr>
        <w:t>u</w:t>
      </w:r>
      <w:r w:rsidR="00604BDB" w:rsidRPr="0034151C">
        <w:rPr>
          <w:b/>
          <w:sz w:val="28"/>
          <w:szCs w:val="28"/>
          <w:lang w:val="de-DE"/>
        </w:rPr>
        <w:t xml:space="preserve"> chỉnh </w:t>
      </w:r>
      <w:r w:rsidR="00F62F23" w:rsidRPr="0034151C">
        <w:rPr>
          <w:b/>
          <w:sz w:val="28"/>
          <w:szCs w:val="28"/>
          <w:lang w:val="de-DE"/>
        </w:rPr>
        <w:t xml:space="preserve">yêu cầu </w:t>
      </w:r>
      <w:r w:rsidR="00604BDB" w:rsidRPr="0034151C">
        <w:rPr>
          <w:b/>
          <w:sz w:val="28"/>
          <w:szCs w:val="28"/>
          <w:lang w:val="de-DE"/>
        </w:rPr>
        <w:t>cần phải sửa đổi.</w:t>
      </w:r>
      <w:r w:rsidR="00DD55C0" w:rsidRPr="0034151C">
        <w:rPr>
          <w:b/>
          <w:sz w:val="28"/>
          <w:szCs w:val="28"/>
          <w:lang w:val="de-DE"/>
        </w:rPr>
        <w:t xml:space="preserve"> Công tác phối hợp giữa các đơn vị trong soạn thảo văn bản quy phạm chưa được tốt làm kéo dài tiến độ soạn thảo.</w:t>
      </w:r>
    </w:p>
    <w:p w:rsidR="00604BDB" w:rsidRPr="0034151C" w:rsidRDefault="00604BDB" w:rsidP="007F1BD0">
      <w:pPr>
        <w:spacing w:after="120"/>
        <w:ind w:firstLine="567"/>
        <w:jc w:val="both"/>
        <w:rPr>
          <w:sz w:val="28"/>
          <w:szCs w:val="28"/>
          <w:lang w:val="de-DE"/>
        </w:rPr>
      </w:pPr>
      <w:r w:rsidRPr="0034151C">
        <w:rPr>
          <w:b/>
          <w:sz w:val="28"/>
          <w:szCs w:val="28"/>
          <w:lang w:val="de-DE"/>
        </w:rPr>
        <w:t>Kế hoạch khắc phục</w:t>
      </w:r>
      <w:r w:rsidRPr="0034151C">
        <w:rPr>
          <w:sz w:val="28"/>
          <w:szCs w:val="28"/>
          <w:lang w:val="de-DE"/>
        </w:rPr>
        <w:t>: Nâng cao năng lực của đội ngũ cán bộ chủ trì công tác soạn thảo, cải tiến công tác soạn thảo làm sao có sự tham gia tích cực và chủ động hơn của đại diện đối tượng chính chịu sự điều tiết của văn bản quy phạm sẽ ban hành. Các văn bản đã ban hành có bất cập cần sửa đổi, bổ sung ngay cho phù hợp với thực tiễn, yêu cầu an toàn chung của IAEA và kinh nghiệm thực tiễn tốt nhất trên thế giới.</w:t>
      </w:r>
      <w:r w:rsidR="00DD55C0" w:rsidRPr="0034151C">
        <w:rPr>
          <w:sz w:val="28"/>
          <w:szCs w:val="28"/>
          <w:lang w:val="de-DE"/>
        </w:rPr>
        <w:t xml:space="preserve"> Kiến nghị Bộ KH&amp;CN yêu cầu các đơn vị trong Bộ tuân thủ đúng quy định về công tác phối hợp</w:t>
      </w:r>
      <w:r w:rsidR="00F62F23" w:rsidRPr="0034151C">
        <w:rPr>
          <w:sz w:val="28"/>
          <w:szCs w:val="28"/>
          <w:lang w:val="de-DE"/>
        </w:rPr>
        <w:t>, xử lý ý kiến của các đơn vị có liên quan đúng tiến độ về thời gian.</w:t>
      </w:r>
    </w:p>
    <w:p w:rsidR="00604BDB" w:rsidRPr="0034151C" w:rsidRDefault="00371BED" w:rsidP="007F1BD0">
      <w:pPr>
        <w:spacing w:after="120"/>
        <w:ind w:firstLine="567"/>
        <w:jc w:val="both"/>
        <w:rPr>
          <w:b/>
          <w:sz w:val="28"/>
          <w:szCs w:val="28"/>
          <w:lang w:val="de-DE"/>
        </w:rPr>
      </w:pPr>
      <w:r>
        <w:rPr>
          <w:b/>
          <w:sz w:val="28"/>
          <w:szCs w:val="28"/>
          <w:lang w:val="de-DE"/>
        </w:rPr>
        <w:t>4)</w:t>
      </w:r>
      <w:r w:rsidR="007F1BD0" w:rsidRPr="0034151C">
        <w:rPr>
          <w:b/>
          <w:sz w:val="28"/>
          <w:szCs w:val="28"/>
          <w:lang w:val="de-DE"/>
        </w:rPr>
        <w:t xml:space="preserve"> </w:t>
      </w:r>
      <w:r w:rsidR="00604BDB" w:rsidRPr="0034151C">
        <w:rPr>
          <w:b/>
          <w:sz w:val="28"/>
          <w:szCs w:val="28"/>
          <w:lang w:val="de-DE"/>
        </w:rPr>
        <w:t xml:space="preserve">Quy định về </w:t>
      </w:r>
      <w:r w:rsidR="006F0142">
        <w:rPr>
          <w:b/>
          <w:sz w:val="28"/>
          <w:szCs w:val="28"/>
          <w:lang w:val="de-DE"/>
        </w:rPr>
        <w:t xml:space="preserve">quản lý chuẩn đo lường bức xạ, hoạt động </w:t>
      </w:r>
      <w:r w:rsidR="00604BDB" w:rsidRPr="0034151C">
        <w:rPr>
          <w:b/>
          <w:sz w:val="28"/>
          <w:szCs w:val="28"/>
          <w:lang w:val="de-DE"/>
        </w:rPr>
        <w:t>kiểm định và hiệu chuẩn thiết bị bức xạ và thiết bị đo lường bức xạ chưa tương thích giữa các yêu cầu của Luật NLNT và Luật Đo lường</w:t>
      </w:r>
      <w:r w:rsidR="00F62F23" w:rsidRPr="0034151C">
        <w:rPr>
          <w:b/>
          <w:sz w:val="28"/>
          <w:szCs w:val="28"/>
          <w:lang w:val="de-DE"/>
        </w:rPr>
        <w:t xml:space="preserve"> gây </w:t>
      </w:r>
      <w:r w:rsidR="0032374F" w:rsidRPr="0034151C">
        <w:rPr>
          <w:b/>
          <w:sz w:val="28"/>
          <w:szCs w:val="28"/>
          <w:lang w:val="de-DE"/>
        </w:rPr>
        <w:t>khó khăn cho công tác quản lý.</w:t>
      </w:r>
    </w:p>
    <w:p w:rsidR="0032374F" w:rsidRPr="0034151C" w:rsidRDefault="0032374F" w:rsidP="007F1BD0">
      <w:pPr>
        <w:spacing w:after="120"/>
        <w:ind w:firstLine="567"/>
        <w:jc w:val="both"/>
        <w:rPr>
          <w:sz w:val="28"/>
          <w:szCs w:val="28"/>
          <w:lang w:val="de-DE"/>
        </w:rPr>
      </w:pPr>
      <w:r w:rsidRPr="0034151C">
        <w:rPr>
          <w:b/>
          <w:sz w:val="28"/>
          <w:szCs w:val="28"/>
          <w:lang w:val="de-DE"/>
        </w:rPr>
        <w:t>Kế hoạch khắc phục</w:t>
      </w:r>
      <w:r w:rsidRPr="0034151C">
        <w:rPr>
          <w:sz w:val="28"/>
          <w:szCs w:val="28"/>
          <w:lang w:val="de-DE"/>
        </w:rPr>
        <w:t>: Cần chỉnh sửa các thông tư liên quan trong Luật NLNT và Luật Đo lường để giải quyết các bất cập trên cơ sở thống nhất giữa Cục ATBXHN và Tổng cục Tiêu chuẩn đo lường chất lượng và báo cáo lãnh đạo Bộ KH&amp;CN.</w:t>
      </w:r>
    </w:p>
    <w:p w:rsidR="0032374F" w:rsidRPr="0034151C" w:rsidRDefault="00371BED" w:rsidP="007F1BD0">
      <w:pPr>
        <w:spacing w:after="120"/>
        <w:ind w:firstLine="567"/>
        <w:jc w:val="both"/>
        <w:rPr>
          <w:b/>
          <w:sz w:val="28"/>
          <w:szCs w:val="28"/>
          <w:lang w:val="de-DE"/>
        </w:rPr>
      </w:pPr>
      <w:r>
        <w:rPr>
          <w:b/>
          <w:sz w:val="28"/>
          <w:szCs w:val="28"/>
          <w:lang w:val="de-DE"/>
        </w:rPr>
        <w:lastRenderedPageBreak/>
        <w:t>5)</w:t>
      </w:r>
      <w:r w:rsidR="007F1BD0" w:rsidRPr="0034151C">
        <w:rPr>
          <w:b/>
          <w:sz w:val="28"/>
          <w:szCs w:val="28"/>
          <w:lang w:val="de-DE"/>
        </w:rPr>
        <w:t xml:space="preserve"> </w:t>
      </w:r>
      <w:r w:rsidR="0032374F" w:rsidRPr="0034151C">
        <w:rPr>
          <w:b/>
          <w:sz w:val="28"/>
          <w:szCs w:val="28"/>
          <w:lang w:val="de-DE"/>
        </w:rPr>
        <w:t xml:space="preserve">Điều kiện cơ sở vật chất hiện nay còn có khó khăn cho việc quản lý các nguồn phóng xạ đã qua sử dụng theo quy định của pháp luật, cụ thể là chưa có kho lưu giữ </w:t>
      </w:r>
      <w:r w:rsidR="00F62F23" w:rsidRPr="0034151C">
        <w:rPr>
          <w:b/>
          <w:sz w:val="28"/>
          <w:szCs w:val="28"/>
          <w:lang w:val="de-DE"/>
        </w:rPr>
        <w:t>nguồn phóng xạ đã qua sử dụng của</w:t>
      </w:r>
      <w:r w:rsidR="0032374F" w:rsidRPr="0034151C">
        <w:rPr>
          <w:b/>
          <w:sz w:val="28"/>
          <w:szCs w:val="28"/>
          <w:lang w:val="de-DE"/>
        </w:rPr>
        <w:t xml:space="preserve"> quốc gia.</w:t>
      </w:r>
    </w:p>
    <w:p w:rsidR="0032374F" w:rsidRPr="0034151C" w:rsidRDefault="0032374F" w:rsidP="007F1BD0">
      <w:pPr>
        <w:spacing w:after="120"/>
        <w:ind w:firstLine="567"/>
        <w:jc w:val="both"/>
        <w:rPr>
          <w:sz w:val="28"/>
          <w:szCs w:val="28"/>
          <w:lang w:val="de-DE"/>
        </w:rPr>
      </w:pPr>
      <w:r w:rsidRPr="0034151C">
        <w:rPr>
          <w:b/>
          <w:sz w:val="28"/>
          <w:szCs w:val="28"/>
          <w:lang w:val="de-DE"/>
        </w:rPr>
        <w:t>Kế hoạch khắc phục</w:t>
      </w:r>
      <w:r w:rsidR="00D66BFB">
        <w:rPr>
          <w:sz w:val="28"/>
          <w:szCs w:val="28"/>
          <w:lang w:val="de-DE"/>
        </w:rPr>
        <w:t>: Cục ATBXHN phối hợp với Bộ Tư lệnh hóa học</w:t>
      </w:r>
      <w:r w:rsidRPr="0034151C">
        <w:rPr>
          <w:sz w:val="28"/>
          <w:szCs w:val="28"/>
          <w:lang w:val="de-DE"/>
        </w:rPr>
        <w:t xml:space="preserve"> đầu tư nâng cấp các kho lưu giữ nguồn phóng xạ đã qua sử dụng của Bộ Tư lệnh hóa học ở các vùng trong cả nước đủ điều kiện phục vụ nhu cầu quản </w:t>
      </w:r>
      <w:r w:rsidR="00F62F23" w:rsidRPr="0034151C">
        <w:rPr>
          <w:sz w:val="28"/>
          <w:szCs w:val="28"/>
          <w:lang w:val="de-DE"/>
        </w:rPr>
        <w:t>lý các nguồn phóng xạ đã qua sử dụng trong cả nước</w:t>
      </w:r>
      <w:r w:rsidRPr="0034151C">
        <w:rPr>
          <w:sz w:val="28"/>
          <w:szCs w:val="28"/>
          <w:lang w:val="de-DE"/>
        </w:rPr>
        <w:t>. Cần hoàn thành công việc này trong năm 2016.</w:t>
      </w:r>
    </w:p>
    <w:p w:rsidR="0032374F" w:rsidRPr="0034151C" w:rsidRDefault="00371BED" w:rsidP="007F1BD0">
      <w:pPr>
        <w:spacing w:after="120"/>
        <w:ind w:firstLine="567"/>
        <w:jc w:val="both"/>
        <w:rPr>
          <w:b/>
          <w:sz w:val="28"/>
          <w:szCs w:val="28"/>
          <w:lang w:val="de-DE"/>
        </w:rPr>
      </w:pPr>
      <w:r>
        <w:rPr>
          <w:b/>
          <w:sz w:val="28"/>
          <w:szCs w:val="28"/>
          <w:lang w:val="de-DE"/>
        </w:rPr>
        <w:t>6)</w:t>
      </w:r>
      <w:r w:rsidR="007F1BD0" w:rsidRPr="0034151C">
        <w:rPr>
          <w:b/>
          <w:sz w:val="28"/>
          <w:szCs w:val="28"/>
          <w:lang w:val="de-DE"/>
        </w:rPr>
        <w:t xml:space="preserve"> </w:t>
      </w:r>
      <w:r w:rsidR="007A011F" w:rsidRPr="0034151C">
        <w:rPr>
          <w:b/>
          <w:sz w:val="28"/>
          <w:szCs w:val="28"/>
          <w:lang w:val="de-DE"/>
        </w:rPr>
        <w:t>Công tác</w:t>
      </w:r>
      <w:r w:rsidR="0032374F" w:rsidRPr="0034151C">
        <w:rPr>
          <w:b/>
          <w:sz w:val="28"/>
          <w:szCs w:val="28"/>
          <w:lang w:val="de-DE"/>
        </w:rPr>
        <w:t xml:space="preserve"> thông tin pháp quy hạt nhân chưa được chú trọng đúng mức thể hiện qua nguồn lực đầu tư cho lĩnh vực này </w:t>
      </w:r>
      <w:r w:rsidR="00D66BFB">
        <w:rPr>
          <w:b/>
          <w:sz w:val="28"/>
          <w:szCs w:val="28"/>
          <w:lang w:val="de-DE"/>
        </w:rPr>
        <w:t xml:space="preserve">còn ít </w:t>
      </w:r>
      <w:r w:rsidR="0032374F" w:rsidRPr="0034151C">
        <w:rPr>
          <w:b/>
          <w:sz w:val="28"/>
          <w:szCs w:val="28"/>
          <w:lang w:val="de-DE"/>
        </w:rPr>
        <w:t>mặc dù Bộ KH&amp;CN</w:t>
      </w:r>
      <w:r w:rsidR="00F62F23" w:rsidRPr="0034151C">
        <w:rPr>
          <w:b/>
          <w:sz w:val="28"/>
          <w:szCs w:val="28"/>
          <w:lang w:val="de-DE"/>
        </w:rPr>
        <w:t xml:space="preserve"> đang quản lý một đề án lớn về T</w:t>
      </w:r>
      <w:r w:rsidR="0032374F" w:rsidRPr="0034151C">
        <w:rPr>
          <w:b/>
          <w:sz w:val="28"/>
          <w:szCs w:val="28"/>
          <w:lang w:val="de-DE"/>
        </w:rPr>
        <w:t>hông tin điện hạt nhân theo phân công của Chính phủ</w:t>
      </w:r>
    </w:p>
    <w:p w:rsidR="0032374F" w:rsidRPr="0034151C" w:rsidRDefault="0032374F" w:rsidP="007F1BD0">
      <w:pPr>
        <w:spacing w:after="120"/>
        <w:ind w:firstLine="567"/>
        <w:jc w:val="both"/>
        <w:rPr>
          <w:sz w:val="28"/>
          <w:szCs w:val="28"/>
          <w:lang w:val="de-DE"/>
        </w:rPr>
      </w:pPr>
      <w:r w:rsidRPr="0034151C">
        <w:rPr>
          <w:b/>
          <w:sz w:val="28"/>
          <w:szCs w:val="28"/>
          <w:lang w:val="de-DE"/>
        </w:rPr>
        <w:t>Kế hoạch khắc phục</w:t>
      </w:r>
      <w:r w:rsidRPr="0034151C">
        <w:rPr>
          <w:sz w:val="28"/>
          <w:szCs w:val="28"/>
          <w:lang w:val="de-DE"/>
        </w:rPr>
        <w:t xml:space="preserve">: Kiến nghị Bộ </w:t>
      </w:r>
      <w:r w:rsidR="00AA6307" w:rsidRPr="0034151C">
        <w:rPr>
          <w:sz w:val="28"/>
          <w:szCs w:val="28"/>
          <w:lang w:val="de-DE"/>
        </w:rPr>
        <w:t xml:space="preserve">KH&amp;CN </w:t>
      </w:r>
      <w:r w:rsidRPr="0034151C">
        <w:rPr>
          <w:sz w:val="28"/>
          <w:szCs w:val="28"/>
          <w:lang w:val="de-DE"/>
        </w:rPr>
        <w:t>cần</w:t>
      </w:r>
      <w:r w:rsidR="00D66BFB">
        <w:rPr>
          <w:sz w:val="28"/>
          <w:szCs w:val="28"/>
          <w:lang w:val="de-DE"/>
        </w:rPr>
        <w:t xml:space="preserve"> cho phép điều chỉnh các nội  </w:t>
      </w:r>
      <w:r w:rsidRPr="0034151C">
        <w:rPr>
          <w:sz w:val="28"/>
          <w:szCs w:val="28"/>
          <w:lang w:val="de-DE"/>
        </w:rPr>
        <w:t xml:space="preserve"> </w:t>
      </w:r>
      <w:r w:rsidR="00D66BFB">
        <w:rPr>
          <w:sz w:val="28"/>
          <w:szCs w:val="28"/>
          <w:lang w:val="de-DE"/>
        </w:rPr>
        <w:t xml:space="preserve">hàm của </w:t>
      </w:r>
      <w:r w:rsidRPr="0034151C">
        <w:rPr>
          <w:sz w:val="28"/>
          <w:szCs w:val="28"/>
          <w:lang w:val="de-DE"/>
        </w:rPr>
        <w:t>đề án Thông tin điện hạt nhân bảo đảm cho công tác thông tin pháp quy hạt nhân là một nội dung quan trọng của hoạt động Thông tin điện hạt nhân như khuyến cáo của IAEA (Báo cáo của Đoàn IRRS-2014)</w:t>
      </w:r>
      <w:r w:rsidR="00AA6307" w:rsidRPr="0034151C">
        <w:rPr>
          <w:sz w:val="28"/>
          <w:szCs w:val="28"/>
          <w:lang w:val="de-DE"/>
        </w:rPr>
        <w:t xml:space="preserve">, tăng cường nhân lực </w:t>
      </w:r>
      <w:r w:rsidR="00F62F23" w:rsidRPr="0034151C">
        <w:rPr>
          <w:sz w:val="28"/>
          <w:szCs w:val="28"/>
          <w:lang w:val="de-DE"/>
        </w:rPr>
        <w:t>và phương tiệ</w:t>
      </w:r>
      <w:r w:rsidR="00AA6307" w:rsidRPr="0034151C">
        <w:rPr>
          <w:sz w:val="28"/>
          <w:szCs w:val="28"/>
          <w:lang w:val="de-DE"/>
        </w:rPr>
        <w:t>n cho việc thực hiện công tác thông tin pháp quy hạt nhân của Cục.</w:t>
      </w:r>
    </w:p>
    <w:p w:rsidR="00AA6307" w:rsidRPr="0034151C" w:rsidRDefault="00371BED" w:rsidP="007F1BD0">
      <w:pPr>
        <w:spacing w:after="120"/>
        <w:ind w:firstLine="567"/>
        <w:jc w:val="both"/>
        <w:rPr>
          <w:b/>
          <w:sz w:val="28"/>
          <w:szCs w:val="28"/>
          <w:lang w:val="de-DE"/>
        </w:rPr>
      </w:pPr>
      <w:r>
        <w:rPr>
          <w:b/>
          <w:sz w:val="28"/>
          <w:szCs w:val="28"/>
          <w:lang w:val="de-DE"/>
        </w:rPr>
        <w:t>7)</w:t>
      </w:r>
      <w:r w:rsidR="007F1BD0" w:rsidRPr="0034151C">
        <w:rPr>
          <w:b/>
          <w:sz w:val="28"/>
          <w:szCs w:val="28"/>
          <w:lang w:val="de-DE"/>
        </w:rPr>
        <w:t xml:space="preserve"> </w:t>
      </w:r>
      <w:r w:rsidR="00AA6307" w:rsidRPr="0034151C">
        <w:rPr>
          <w:b/>
          <w:sz w:val="28"/>
          <w:szCs w:val="28"/>
          <w:lang w:val="de-DE"/>
        </w:rPr>
        <w:t>Kế hoạch đào tạo cán bộ pháp quy hạt nhân hàng năm chưa được giao ô  mục kinh phí riêng cho Cục ATBXHN quản lý để bảo đảm tính độc lập, tự chủ</w:t>
      </w:r>
      <w:r w:rsidR="007A011F" w:rsidRPr="0034151C">
        <w:rPr>
          <w:b/>
          <w:sz w:val="28"/>
          <w:szCs w:val="28"/>
          <w:lang w:val="de-DE"/>
        </w:rPr>
        <w:t xml:space="preserve"> và tự chịu trách nhiệm về</w:t>
      </w:r>
      <w:r w:rsidR="00F62F23" w:rsidRPr="0034151C">
        <w:rPr>
          <w:b/>
          <w:sz w:val="28"/>
          <w:szCs w:val="28"/>
          <w:lang w:val="de-DE"/>
        </w:rPr>
        <w:t xml:space="preserve"> công tác đào tạo </w:t>
      </w:r>
      <w:r w:rsidR="00AA6307" w:rsidRPr="0034151C">
        <w:rPr>
          <w:b/>
          <w:sz w:val="28"/>
          <w:szCs w:val="28"/>
          <w:lang w:val="de-DE"/>
        </w:rPr>
        <w:t>cán bộ pháp quy hạt nhân.</w:t>
      </w:r>
    </w:p>
    <w:p w:rsidR="00AA6307" w:rsidRPr="0034151C" w:rsidRDefault="00AA6307" w:rsidP="007F1BD0">
      <w:pPr>
        <w:spacing w:after="120"/>
        <w:ind w:firstLine="567"/>
        <w:jc w:val="both"/>
        <w:rPr>
          <w:sz w:val="28"/>
          <w:szCs w:val="28"/>
          <w:lang w:val="de-DE"/>
        </w:rPr>
      </w:pPr>
      <w:r w:rsidRPr="0034151C">
        <w:rPr>
          <w:b/>
          <w:sz w:val="28"/>
          <w:szCs w:val="28"/>
          <w:lang w:val="de-DE"/>
        </w:rPr>
        <w:t>Kế hoạch khắc phục</w:t>
      </w:r>
      <w:r w:rsidRPr="0034151C">
        <w:rPr>
          <w:sz w:val="28"/>
          <w:szCs w:val="28"/>
          <w:lang w:val="de-DE"/>
        </w:rPr>
        <w:t>: Kiến nghị Bộ KH&amp;CN cần phê duyệt hàng năm kế hoạch đào tạo cán bộ pháp quy hạt nhân và phân ngân sách trực tiếp cho Cục theo ô mục ngân sách về đào tạo để Cục chủ động trong tổ chức triển khai và tự chịu trách nhiệm về chất lượng và hiệu quả công tác đ</w:t>
      </w:r>
      <w:r w:rsidR="00FC1034" w:rsidRPr="0034151C">
        <w:rPr>
          <w:sz w:val="28"/>
          <w:szCs w:val="28"/>
          <w:lang w:val="de-DE"/>
        </w:rPr>
        <w:t>à</w:t>
      </w:r>
      <w:r w:rsidRPr="0034151C">
        <w:rPr>
          <w:sz w:val="28"/>
          <w:szCs w:val="28"/>
          <w:lang w:val="de-DE"/>
        </w:rPr>
        <w:t>o tạo cán bộ pháp quy hạt nhân.</w:t>
      </w:r>
    </w:p>
    <w:p w:rsidR="00AA6307" w:rsidRPr="0034151C" w:rsidRDefault="00371BED" w:rsidP="007F1BD0">
      <w:pPr>
        <w:spacing w:after="120"/>
        <w:ind w:firstLine="567"/>
        <w:jc w:val="both"/>
        <w:rPr>
          <w:b/>
          <w:sz w:val="28"/>
          <w:szCs w:val="28"/>
          <w:lang w:val="de-DE"/>
        </w:rPr>
      </w:pPr>
      <w:r>
        <w:rPr>
          <w:b/>
          <w:sz w:val="28"/>
          <w:szCs w:val="28"/>
          <w:lang w:val="de-DE"/>
        </w:rPr>
        <w:t>8)</w:t>
      </w:r>
      <w:r w:rsidR="007F1BD0" w:rsidRPr="0034151C">
        <w:rPr>
          <w:b/>
          <w:sz w:val="28"/>
          <w:szCs w:val="28"/>
          <w:lang w:val="de-DE"/>
        </w:rPr>
        <w:t xml:space="preserve"> </w:t>
      </w:r>
      <w:r w:rsidR="00AA6307" w:rsidRPr="0034151C">
        <w:rPr>
          <w:b/>
          <w:sz w:val="28"/>
          <w:szCs w:val="28"/>
          <w:lang w:val="de-DE"/>
        </w:rPr>
        <w:t>Chưa được phân cấp đầy đủ trong công tác hợp tác quốc tế về an toàn, an ninh, thanh sát và bồi thường hạt nhân nên không chủ động trong tổ</w:t>
      </w:r>
      <w:r w:rsidR="00F62F23" w:rsidRPr="0034151C">
        <w:rPr>
          <w:b/>
          <w:sz w:val="28"/>
          <w:szCs w:val="28"/>
          <w:lang w:val="de-DE"/>
        </w:rPr>
        <w:t xml:space="preserve"> chức triển khai thực hiện và là</w:t>
      </w:r>
      <w:r w:rsidR="00AA6307" w:rsidRPr="0034151C">
        <w:rPr>
          <w:b/>
          <w:sz w:val="28"/>
          <w:szCs w:val="28"/>
          <w:lang w:val="de-DE"/>
        </w:rPr>
        <w:t>m mất nhiều thời gian trong việc xử lý và giải quyết các thủ tục nội bộ.</w:t>
      </w:r>
    </w:p>
    <w:p w:rsidR="00AA6307" w:rsidRPr="0034151C" w:rsidRDefault="00AA6307" w:rsidP="007F1BD0">
      <w:pPr>
        <w:spacing w:after="120"/>
        <w:ind w:firstLine="567"/>
        <w:jc w:val="both"/>
        <w:rPr>
          <w:sz w:val="28"/>
          <w:szCs w:val="28"/>
          <w:lang w:val="de-DE"/>
        </w:rPr>
      </w:pPr>
      <w:r w:rsidRPr="0034151C">
        <w:rPr>
          <w:b/>
          <w:sz w:val="28"/>
          <w:szCs w:val="28"/>
          <w:lang w:val="de-DE"/>
        </w:rPr>
        <w:t>Kế hoạch khắc phục</w:t>
      </w:r>
      <w:r w:rsidRPr="0034151C">
        <w:rPr>
          <w:sz w:val="28"/>
          <w:szCs w:val="28"/>
          <w:lang w:val="de-DE"/>
        </w:rPr>
        <w:t>: Kiến nghị Bộ KH&amp;CN phân cấp đầy đủ hơn cho Cục về quản lý công tác hợp tác quốc tế về an toàn, an ninh, thanh sát và bổi thường hạt nhân của Việt Nam. Cụ thể là giao cho Cục làm đầu mối hợp tác quốc tế với các đối tác về lĩnh vực an toàn, an ninh, thanh sát và bồi thường hạt nhân; được ra quyết định tổ chức các khóa đào tạo, huấn luyện, hội thảo hợp tác với nước ngoài về các lĩnh vực này</w:t>
      </w:r>
      <w:r w:rsidR="007A011F" w:rsidRPr="0034151C">
        <w:rPr>
          <w:sz w:val="28"/>
          <w:szCs w:val="28"/>
          <w:lang w:val="de-DE"/>
        </w:rPr>
        <w:t xml:space="preserve"> sau khi xin chủ trương của Bộ về các hoạt động hợp tác quốc tế trong năm</w:t>
      </w:r>
      <w:r w:rsidRPr="0034151C">
        <w:rPr>
          <w:sz w:val="28"/>
          <w:szCs w:val="28"/>
          <w:lang w:val="de-DE"/>
        </w:rPr>
        <w:t>; được ký công văn để xin thủ tục cấp visa cho các đối tác nước ngoài vào Việt Nam dự các sự kiên hợp tác quốc tế với Cục về an toàn, an ninh, thanh sát và bồi thường hạt nhân</w:t>
      </w:r>
      <w:r w:rsidR="007A011F" w:rsidRPr="0034151C">
        <w:rPr>
          <w:sz w:val="28"/>
          <w:szCs w:val="28"/>
          <w:lang w:val="de-DE"/>
        </w:rPr>
        <w:t xml:space="preserve"> sau khi được Bộ cho phép tổ chức các sự kiện này</w:t>
      </w:r>
      <w:r w:rsidRPr="0034151C">
        <w:rPr>
          <w:sz w:val="28"/>
          <w:szCs w:val="28"/>
          <w:lang w:val="de-DE"/>
        </w:rPr>
        <w:t>.</w:t>
      </w:r>
    </w:p>
    <w:p w:rsidR="00AA6307" w:rsidRPr="0034151C" w:rsidRDefault="00371BED" w:rsidP="007F1BD0">
      <w:pPr>
        <w:spacing w:after="120"/>
        <w:ind w:firstLine="567"/>
        <w:jc w:val="both"/>
        <w:rPr>
          <w:b/>
          <w:sz w:val="28"/>
          <w:szCs w:val="28"/>
          <w:lang w:val="de-DE"/>
        </w:rPr>
      </w:pPr>
      <w:r>
        <w:rPr>
          <w:b/>
          <w:sz w:val="28"/>
          <w:szCs w:val="28"/>
          <w:lang w:val="de-DE"/>
        </w:rPr>
        <w:t>9)</w:t>
      </w:r>
      <w:r w:rsidR="007F1BD0" w:rsidRPr="0034151C">
        <w:rPr>
          <w:b/>
          <w:sz w:val="28"/>
          <w:szCs w:val="28"/>
          <w:lang w:val="de-DE"/>
        </w:rPr>
        <w:t xml:space="preserve"> </w:t>
      </w:r>
      <w:r w:rsidR="00DD55C0" w:rsidRPr="0034151C">
        <w:rPr>
          <w:b/>
          <w:sz w:val="28"/>
          <w:szCs w:val="28"/>
          <w:lang w:val="de-DE"/>
        </w:rPr>
        <w:t>Đội ngũ cán bộ và các cơ sở hạ tầng kỹ thuật, trang thiết bị hỗ trợ công tác quản lý nhà nước về an toàn, an ninh và thanh sát hạt nhân của Cục còn rất hạn chế, chưa đáp ứng yêu cầu nhiệm vụ của Cơ quan pháp quy hạt nhân quốc gia.</w:t>
      </w:r>
    </w:p>
    <w:p w:rsidR="00DD55C0" w:rsidRPr="0034151C" w:rsidRDefault="00DD55C0" w:rsidP="007F1BD0">
      <w:pPr>
        <w:spacing w:after="120"/>
        <w:ind w:firstLine="567"/>
        <w:jc w:val="both"/>
        <w:rPr>
          <w:sz w:val="28"/>
          <w:szCs w:val="28"/>
          <w:lang w:val="de-DE"/>
        </w:rPr>
      </w:pPr>
      <w:r w:rsidRPr="0034151C">
        <w:rPr>
          <w:b/>
          <w:sz w:val="28"/>
          <w:szCs w:val="28"/>
          <w:lang w:val="de-DE"/>
        </w:rPr>
        <w:t>Kế hoạch khắc phục</w:t>
      </w:r>
      <w:r w:rsidRPr="0034151C">
        <w:rPr>
          <w:sz w:val="28"/>
          <w:szCs w:val="28"/>
          <w:lang w:val="de-DE"/>
        </w:rPr>
        <w:t>: Kiến nghị Bộ KH&amp;CN và Bộ Nội vụ phê duyệt Đề án vị trí việc làm và cho phép tuyển dụng bổ sung nhân lực từ năm 2016; Bộ KH&amp;CN có kế hoạch đầu tư ngắn h</w:t>
      </w:r>
      <w:r w:rsidR="00F62F23" w:rsidRPr="0034151C">
        <w:rPr>
          <w:sz w:val="28"/>
          <w:szCs w:val="28"/>
          <w:lang w:val="de-DE"/>
        </w:rPr>
        <w:t>ạn và trung hạn cho Cục để đáp ứ</w:t>
      </w:r>
      <w:r w:rsidRPr="0034151C">
        <w:rPr>
          <w:sz w:val="28"/>
          <w:szCs w:val="28"/>
          <w:lang w:val="de-DE"/>
        </w:rPr>
        <w:t xml:space="preserve">ng cả nhu cầu trước mắt và </w:t>
      </w:r>
      <w:r w:rsidRPr="0034151C">
        <w:rPr>
          <w:sz w:val="28"/>
          <w:szCs w:val="28"/>
          <w:lang w:val="de-DE"/>
        </w:rPr>
        <w:lastRenderedPageBreak/>
        <w:t>lâu dài cho Cục; Bộ KH&amp;CN làm việc với các địa phương để hỗ trợ cấp đất cho các đơn vị của Cục như Văn phòng Thanh tra tại Ninh Thuận, Trung tâm Điều hành ứng phó bên ngoài địa điểm tại Ninh Thuận, Trung tâm HTKT an toàn bức xạ và ứng phó sự cố tại thành phố Hồ Chí Minh và các Trung tâm KTKT khác theo phân công của Bộ cho Cục.</w:t>
      </w:r>
    </w:p>
    <w:p w:rsidR="00371BED" w:rsidRDefault="00371BED" w:rsidP="00727305">
      <w:pPr>
        <w:spacing w:after="120"/>
        <w:ind w:firstLine="567"/>
        <w:jc w:val="both"/>
        <w:rPr>
          <w:b/>
          <w:color w:val="0033CC"/>
          <w:sz w:val="28"/>
          <w:szCs w:val="28"/>
          <w:lang w:val="de-DE"/>
        </w:rPr>
      </w:pPr>
      <w:r>
        <w:rPr>
          <w:b/>
          <w:color w:val="0033CC"/>
          <w:sz w:val="28"/>
          <w:szCs w:val="28"/>
          <w:lang w:val="de-DE"/>
        </w:rPr>
        <w:t>4. Các nhiệm vụ trọng tâm năm 2016</w:t>
      </w:r>
    </w:p>
    <w:p w:rsidR="00371BED" w:rsidRPr="00371BED" w:rsidRDefault="009A68B7" w:rsidP="00371BED">
      <w:pPr>
        <w:pStyle w:val="ListParagraph"/>
        <w:spacing w:after="120"/>
        <w:ind w:left="0" w:firstLine="567"/>
        <w:contextualSpacing w:val="0"/>
        <w:jc w:val="both"/>
        <w:rPr>
          <w:sz w:val="28"/>
          <w:szCs w:val="28"/>
          <w:lang w:val="de-DE"/>
        </w:rPr>
      </w:pPr>
      <w:r>
        <w:rPr>
          <w:sz w:val="28"/>
          <w:szCs w:val="28"/>
          <w:lang w:val="de-DE"/>
        </w:rPr>
        <w:t xml:space="preserve">1) </w:t>
      </w:r>
      <w:r w:rsidR="00371BED" w:rsidRPr="00371BED">
        <w:rPr>
          <w:sz w:val="28"/>
          <w:szCs w:val="28"/>
          <w:lang w:val="de-DE"/>
        </w:rPr>
        <w:t xml:space="preserve"> Hoàn thành công tác </w:t>
      </w:r>
      <w:r w:rsidR="00371BED" w:rsidRPr="008D1F90">
        <w:rPr>
          <w:sz w:val="28"/>
          <w:szCs w:val="28"/>
          <w:lang w:val="de-DE"/>
        </w:rPr>
        <w:t xml:space="preserve">kiện toàn bộ máy lãnh đạo các đơn vị </w:t>
      </w:r>
      <w:r w:rsidR="00371BED">
        <w:rPr>
          <w:sz w:val="28"/>
          <w:szCs w:val="28"/>
          <w:lang w:val="de-DE"/>
        </w:rPr>
        <w:t>t</w:t>
      </w:r>
      <w:r w:rsidR="00371BED" w:rsidRPr="008D1F90">
        <w:rPr>
          <w:sz w:val="28"/>
          <w:szCs w:val="28"/>
          <w:lang w:val="de-DE"/>
        </w:rPr>
        <w:t xml:space="preserve">heo Điều lệ tổ chức mới của Cục; công tác quy hoạch </w:t>
      </w:r>
      <w:r w:rsidR="00371BED">
        <w:rPr>
          <w:sz w:val="28"/>
          <w:szCs w:val="28"/>
          <w:lang w:val="de-DE"/>
        </w:rPr>
        <w:t xml:space="preserve">cán bộ </w:t>
      </w:r>
      <w:r w:rsidR="00371BED" w:rsidRPr="008D1F90">
        <w:rPr>
          <w:sz w:val="28"/>
          <w:szCs w:val="28"/>
          <w:lang w:val="de-DE"/>
        </w:rPr>
        <w:t xml:space="preserve">lãnh đạo </w:t>
      </w:r>
      <w:r w:rsidR="00371BED">
        <w:rPr>
          <w:sz w:val="28"/>
          <w:szCs w:val="28"/>
          <w:lang w:val="de-DE"/>
        </w:rPr>
        <w:t>Cục và các đơn vị trực thuộc</w:t>
      </w:r>
      <w:r w:rsidR="00371BED" w:rsidRPr="008D1F90">
        <w:rPr>
          <w:sz w:val="28"/>
          <w:szCs w:val="28"/>
          <w:lang w:val="de-DE"/>
        </w:rPr>
        <w:t xml:space="preserve"> </w:t>
      </w:r>
      <w:r w:rsidR="00371BED">
        <w:rPr>
          <w:sz w:val="28"/>
          <w:szCs w:val="28"/>
          <w:lang w:val="de-DE"/>
        </w:rPr>
        <w:t>Cục và tập trung đào tạo phát triển nguồn nhân lực đáp ứng yêu cầu quản lý nhà nước về an toàn, an ninh và thanh sát hạt nhân</w:t>
      </w:r>
      <w:r w:rsidR="00371BED" w:rsidRPr="008D1F90">
        <w:rPr>
          <w:sz w:val="28"/>
          <w:szCs w:val="28"/>
          <w:lang w:val="de-DE"/>
        </w:rPr>
        <w:t>.</w:t>
      </w:r>
    </w:p>
    <w:p w:rsidR="00371BED" w:rsidRPr="00371BED" w:rsidRDefault="009A68B7" w:rsidP="00371BED">
      <w:pPr>
        <w:pStyle w:val="ListParagraph"/>
        <w:spacing w:after="120"/>
        <w:ind w:left="0" w:firstLine="567"/>
        <w:contextualSpacing w:val="0"/>
        <w:jc w:val="both"/>
        <w:rPr>
          <w:sz w:val="28"/>
          <w:szCs w:val="28"/>
          <w:lang w:val="de-DE"/>
        </w:rPr>
      </w:pPr>
      <w:r>
        <w:rPr>
          <w:sz w:val="28"/>
          <w:szCs w:val="28"/>
          <w:lang w:val="de-DE"/>
        </w:rPr>
        <w:t xml:space="preserve">2) </w:t>
      </w:r>
      <w:r w:rsidR="00371BED" w:rsidRPr="008D1F90">
        <w:rPr>
          <w:sz w:val="28"/>
          <w:szCs w:val="28"/>
          <w:lang w:val="nl-NL"/>
        </w:rPr>
        <w:t xml:space="preserve">Hoàn thiện </w:t>
      </w:r>
      <w:r w:rsidR="00371BED">
        <w:rPr>
          <w:sz w:val="28"/>
          <w:szCs w:val="28"/>
          <w:lang w:val="nl-NL"/>
        </w:rPr>
        <w:t xml:space="preserve">Khung văn bản pháp luật về điện hạt nhân trình Thủ tướng Chính phủ phê duyệt và tổ chức xây dựng đầy đủ các văn bản quy phạm theo lộ trình triển khai dự án điện hạt nhân Ninh Thuận; tập trung hoàn thiện </w:t>
      </w:r>
      <w:r w:rsidR="00371BED" w:rsidRPr="008D1F90">
        <w:rPr>
          <w:sz w:val="28"/>
          <w:szCs w:val="28"/>
          <w:lang w:val="nl-NL"/>
        </w:rPr>
        <w:t>dự thảo Luật năng lượng nguyên tử sửa đổi</w:t>
      </w:r>
      <w:r w:rsidR="00371BED">
        <w:rPr>
          <w:sz w:val="28"/>
          <w:szCs w:val="28"/>
          <w:lang w:val="nl-NL"/>
        </w:rPr>
        <w:t xml:space="preserve"> và các văn bản dưới luật trình Chính phủ và Quốc Hội theo kế hoạch</w:t>
      </w:r>
      <w:r w:rsidR="00371BED" w:rsidRPr="008D1F90">
        <w:rPr>
          <w:sz w:val="28"/>
          <w:szCs w:val="28"/>
          <w:lang w:val="nl-NL"/>
        </w:rPr>
        <w:t>;</w:t>
      </w:r>
      <w:r w:rsidR="00371BED" w:rsidRPr="00371BED">
        <w:rPr>
          <w:sz w:val="28"/>
          <w:szCs w:val="28"/>
          <w:lang w:val="de-DE"/>
        </w:rPr>
        <w:t xml:space="preserve"> </w:t>
      </w:r>
    </w:p>
    <w:p w:rsidR="00371BED" w:rsidRPr="00371BED" w:rsidRDefault="009A68B7" w:rsidP="00371BED">
      <w:pPr>
        <w:spacing w:after="120"/>
        <w:ind w:firstLine="567"/>
        <w:jc w:val="both"/>
        <w:rPr>
          <w:sz w:val="28"/>
          <w:szCs w:val="28"/>
          <w:lang w:val="de-DE"/>
        </w:rPr>
      </w:pPr>
      <w:r>
        <w:rPr>
          <w:sz w:val="28"/>
          <w:szCs w:val="28"/>
          <w:lang w:val="de-DE"/>
        </w:rPr>
        <w:t xml:space="preserve">3) </w:t>
      </w:r>
      <w:r w:rsidR="00371BED" w:rsidRPr="00371BED">
        <w:rPr>
          <w:sz w:val="28"/>
          <w:szCs w:val="28"/>
          <w:lang w:val="de-DE"/>
        </w:rPr>
        <w:t>Tổ chức tốt công tác thẩm định báo cáo phân tích an toàn trong hồ sơ phê duyệt địa điểm và hồ sơ phê duyệt dự án đầu tư nhà máy điện hạt nhân Ninh Thuận 1 và Ninh Thuận 2. Chuẩn bị khuôn khổ pháp lý và năng lực để quản lý an toàn dự án lò nghiên cứu mới.</w:t>
      </w:r>
    </w:p>
    <w:p w:rsidR="00371BED" w:rsidRPr="00371BED" w:rsidRDefault="009A68B7" w:rsidP="00371BED">
      <w:pPr>
        <w:spacing w:after="120"/>
        <w:ind w:firstLine="567"/>
        <w:jc w:val="both"/>
        <w:rPr>
          <w:sz w:val="28"/>
          <w:szCs w:val="28"/>
          <w:lang w:val="de-DE"/>
        </w:rPr>
      </w:pPr>
      <w:r>
        <w:rPr>
          <w:sz w:val="28"/>
          <w:szCs w:val="28"/>
          <w:lang w:val="de-DE"/>
        </w:rPr>
        <w:t xml:space="preserve">4) </w:t>
      </w:r>
      <w:r w:rsidR="00371BED" w:rsidRPr="00371BED">
        <w:rPr>
          <w:sz w:val="28"/>
          <w:szCs w:val="28"/>
          <w:lang w:val="de-DE"/>
        </w:rPr>
        <w:t>Làm tốt công tác cấp phép, quản lý, giám sát sau cấp phép và thanh tra an toàn bức xạ và hạt nhân theo quy định của Luật NLNT, tiếp tục tổ chức thực hiện tốt Chỉ thị số 17 của Thủ tướng về tăng cường và nâng cao hiệu quả, hiệu lực quản lý nhà nước về an toàn bức xạ và an ninh nguồn phóng xạ.</w:t>
      </w:r>
    </w:p>
    <w:p w:rsidR="00371BED" w:rsidRPr="009A68B7" w:rsidRDefault="009A68B7" w:rsidP="00371BED">
      <w:pPr>
        <w:spacing w:after="120"/>
        <w:ind w:firstLine="567"/>
        <w:jc w:val="both"/>
        <w:rPr>
          <w:sz w:val="28"/>
          <w:szCs w:val="28"/>
          <w:lang w:val="de-DE"/>
        </w:rPr>
      </w:pPr>
      <w:r>
        <w:rPr>
          <w:sz w:val="28"/>
          <w:szCs w:val="28"/>
          <w:lang w:val="de-DE"/>
        </w:rPr>
        <w:t xml:space="preserve">5) </w:t>
      </w:r>
      <w:r w:rsidR="00371BED" w:rsidRPr="009A68B7">
        <w:rPr>
          <w:sz w:val="28"/>
          <w:szCs w:val="28"/>
          <w:lang w:val="de-DE"/>
        </w:rPr>
        <w:t xml:space="preserve">Triển khai thực hiện các điều ước quốc tế về </w:t>
      </w:r>
      <w:r w:rsidR="00371BED">
        <w:rPr>
          <w:sz w:val="28"/>
          <w:szCs w:val="28"/>
          <w:lang w:val="de-DE"/>
        </w:rPr>
        <w:t>an toàn, an ninh và không phổ biến vũ khí hạt nhân, chuẩn bị tốt nội dung cho Thủ tướng tham dự Hội nghị Thượng đỉnh an ninh hạt nhân Washington năm 2016</w:t>
      </w:r>
      <w:r w:rsidR="00371BED" w:rsidRPr="009A68B7">
        <w:rPr>
          <w:sz w:val="28"/>
          <w:szCs w:val="28"/>
          <w:lang w:val="de-DE"/>
        </w:rPr>
        <w:t>.</w:t>
      </w:r>
    </w:p>
    <w:p w:rsidR="00371BED" w:rsidRPr="009A68B7" w:rsidRDefault="009A68B7" w:rsidP="00371BED">
      <w:pPr>
        <w:spacing w:after="120"/>
        <w:ind w:firstLine="567"/>
        <w:jc w:val="both"/>
        <w:rPr>
          <w:sz w:val="28"/>
          <w:szCs w:val="28"/>
          <w:lang w:val="de-DE"/>
        </w:rPr>
      </w:pPr>
      <w:r>
        <w:rPr>
          <w:sz w:val="28"/>
          <w:szCs w:val="28"/>
          <w:lang w:val="de-DE"/>
        </w:rPr>
        <w:t xml:space="preserve">6) </w:t>
      </w:r>
      <w:r w:rsidR="00371BED" w:rsidRPr="009A68B7">
        <w:rPr>
          <w:sz w:val="28"/>
          <w:szCs w:val="28"/>
          <w:lang w:val="de-DE"/>
        </w:rPr>
        <w:t xml:space="preserve">Đẩy mạnh và sử dụng hiệu quả các kênh hợp tác quốc tế đa phương và song phương nhằm góp phần xây dựng hệ thống khung pháp quy hạt nhân và </w:t>
      </w:r>
      <w:r w:rsidR="00371BED" w:rsidRPr="0034151C">
        <w:rPr>
          <w:sz w:val="28"/>
          <w:szCs w:val="28"/>
          <w:lang w:val="pt-BR"/>
        </w:rPr>
        <w:t xml:space="preserve">nâng cao năng </w:t>
      </w:r>
      <w:r w:rsidR="00371BED">
        <w:rPr>
          <w:sz w:val="28"/>
          <w:szCs w:val="28"/>
          <w:lang w:val="pt-BR"/>
        </w:rPr>
        <w:t xml:space="preserve">lực quản lý </w:t>
      </w:r>
      <w:r w:rsidR="00371BED" w:rsidRPr="0034151C">
        <w:rPr>
          <w:sz w:val="28"/>
          <w:szCs w:val="28"/>
          <w:lang w:val="pt-BR"/>
        </w:rPr>
        <w:t>đảm bảo an toàn, an ninh và không phổ biến hạt nhân</w:t>
      </w:r>
      <w:r w:rsidR="00371BED" w:rsidRPr="009A68B7">
        <w:rPr>
          <w:sz w:val="28"/>
          <w:szCs w:val="28"/>
          <w:lang w:val="de-DE"/>
        </w:rPr>
        <w:t>.</w:t>
      </w:r>
    </w:p>
    <w:p w:rsidR="00371BED" w:rsidRPr="009A68B7" w:rsidRDefault="009A68B7" w:rsidP="00371BED">
      <w:pPr>
        <w:spacing w:after="120"/>
        <w:ind w:firstLine="567"/>
        <w:jc w:val="both"/>
        <w:rPr>
          <w:sz w:val="28"/>
          <w:szCs w:val="28"/>
          <w:lang w:val="de-DE"/>
        </w:rPr>
      </w:pPr>
      <w:r>
        <w:rPr>
          <w:sz w:val="28"/>
          <w:szCs w:val="28"/>
          <w:lang w:val="de-DE"/>
        </w:rPr>
        <w:t xml:space="preserve">7) </w:t>
      </w:r>
      <w:r w:rsidR="00371BED" w:rsidRPr="009A68B7">
        <w:rPr>
          <w:sz w:val="28"/>
          <w:szCs w:val="28"/>
          <w:lang w:val="de-DE"/>
        </w:rPr>
        <w:t>Tăng cường năng lực thực hiện các dịch vụ sự nghiệp công sử dụng Ngân sách Nhà nước hỗ trợ công tác quản lý nhà nước về an toàn bức xạ, an toàn hạt nhân, an ninh hạt nhân, thanh sát hạt nhân, phóng xạ môi trường và ứng phó sự cố.</w:t>
      </w:r>
    </w:p>
    <w:p w:rsidR="00371BED" w:rsidRPr="009A68B7" w:rsidRDefault="009A68B7" w:rsidP="00371BED">
      <w:pPr>
        <w:spacing w:after="120"/>
        <w:ind w:firstLine="567"/>
        <w:jc w:val="both"/>
        <w:rPr>
          <w:sz w:val="28"/>
          <w:szCs w:val="28"/>
          <w:lang w:val="de-DE"/>
        </w:rPr>
      </w:pPr>
      <w:r>
        <w:rPr>
          <w:sz w:val="28"/>
          <w:szCs w:val="28"/>
          <w:lang w:val="de-DE"/>
        </w:rPr>
        <w:t xml:space="preserve">8) </w:t>
      </w:r>
      <w:r w:rsidR="00371BED" w:rsidRPr="009A68B7">
        <w:rPr>
          <w:sz w:val="28"/>
          <w:szCs w:val="28"/>
          <w:lang w:val="de-DE"/>
        </w:rPr>
        <w:t>Mở rộng và phát triển các hoạt động dịch vụ kỹ thuật, dịch vụ đào tạo an toàn bức xạ và đào tạo chuyên môn nghiệp vụ để tạo nguồn thu nhập tăng thêm cho cán bộ công nhân viên chức và người lao động.</w:t>
      </w:r>
    </w:p>
    <w:p w:rsidR="00371BED" w:rsidRPr="009A68B7" w:rsidRDefault="009A68B7" w:rsidP="00371BED">
      <w:pPr>
        <w:spacing w:after="120"/>
        <w:ind w:firstLine="567"/>
        <w:jc w:val="both"/>
        <w:rPr>
          <w:sz w:val="28"/>
          <w:szCs w:val="28"/>
          <w:lang w:val="de-DE"/>
        </w:rPr>
      </w:pPr>
      <w:r w:rsidRPr="009A68B7">
        <w:rPr>
          <w:sz w:val="28"/>
          <w:szCs w:val="28"/>
          <w:lang w:val="de-DE"/>
        </w:rPr>
        <w:t xml:space="preserve">9) </w:t>
      </w:r>
      <w:r w:rsidR="00371BED" w:rsidRPr="009A68B7">
        <w:rPr>
          <w:sz w:val="28"/>
          <w:szCs w:val="28"/>
          <w:lang w:val="de-DE"/>
        </w:rPr>
        <w:t xml:space="preserve">Khắc phục các tồn tại và hạn chế, yếu kém trong các lĩnh vực hoạt động </w:t>
      </w:r>
      <w:r w:rsidRPr="009A68B7">
        <w:rPr>
          <w:sz w:val="28"/>
          <w:szCs w:val="28"/>
          <w:lang w:val="de-DE"/>
        </w:rPr>
        <w:t xml:space="preserve">quản lý nhà nước </w:t>
      </w:r>
      <w:r w:rsidR="00371BED" w:rsidRPr="009A68B7">
        <w:rPr>
          <w:sz w:val="28"/>
          <w:szCs w:val="28"/>
          <w:lang w:val="de-DE"/>
        </w:rPr>
        <w:t>của Cục đã được nêu</w:t>
      </w:r>
      <w:r w:rsidRPr="009A68B7">
        <w:rPr>
          <w:sz w:val="28"/>
          <w:szCs w:val="28"/>
          <w:lang w:val="de-DE"/>
        </w:rPr>
        <w:t xml:space="preserve"> ở trên</w:t>
      </w:r>
      <w:r w:rsidR="00371BED" w:rsidRPr="009A68B7">
        <w:rPr>
          <w:sz w:val="28"/>
          <w:szCs w:val="28"/>
          <w:lang w:val="de-DE"/>
        </w:rPr>
        <w:t>.</w:t>
      </w:r>
    </w:p>
    <w:p w:rsidR="00371BED" w:rsidRDefault="009A68B7" w:rsidP="00371BED">
      <w:pPr>
        <w:spacing w:after="120"/>
        <w:ind w:firstLine="567"/>
        <w:jc w:val="both"/>
        <w:rPr>
          <w:sz w:val="28"/>
          <w:szCs w:val="28"/>
          <w:lang w:val="de-DE"/>
        </w:rPr>
      </w:pPr>
      <w:r w:rsidRPr="009A68B7">
        <w:rPr>
          <w:sz w:val="28"/>
          <w:szCs w:val="28"/>
          <w:lang w:val="de-DE"/>
        </w:rPr>
        <w:t xml:space="preserve">10) </w:t>
      </w:r>
      <w:r w:rsidR="00371BED" w:rsidRPr="009A68B7">
        <w:rPr>
          <w:sz w:val="28"/>
          <w:szCs w:val="28"/>
          <w:lang w:val="de-DE"/>
        </w:rPr>
        <w:t>Tổ chức triển khai thực hiện các nhiệm vụ nhằm khắc phục các khiếm khuyết trong công tác quản lý nhà nước về an toàn bức xạ và hạt nhân đã được thống nhất tại Hội nghị Pháp quy hạt nhân toàn quốc lần thứ 2.</w:t>
      </w:r>
    </w:p>
    <w:p w:rsidR="009A68B7" w:rsidRPr="009A68B7" w:rsidRDefault="009A68B7" w:rsidP="00371BED">
      <w:pPr>
        <w:spacing w:after="120"/>
        <w:ind w:firstLine="567"/>
        <w:jc w:val="both"/>
        <w:rPr>
          <w:sz w:val="28"/>
          <w:szCs w:val="28"/>
          <w:lang w:val="de-DE"/>
        </w:rPr>
      </w:pPr>
    </w:p>
    <w:p w:rsidR="009A68B7" w:rsidRPr="009A68B7" w:rsidRDefault="009A68B7" w:rsidP="00371BED">
      <w:pPr>
        <w:spacing w:after="120"/>
        <w:ind w:firstLine="567"/>
        <w:jc w:val="both"/>
        <w:rPr>
          <w:b/>
          <w:color w:val="0070C0"/>
          <w:sz w:val="28"/>
          <w:szCs w:val="28"/>
          <w:lang w:val="de-DE"/>
        </w:rPr>
      </w:pPr>
      <w:r w:rsidRPr="009A68B7">
        <w:rPr>
          <w:b/>
          <w:color w:val="0070C0"/>
          <w:sz w:val="28"/>
          <w:szCs w:val="28"/>
          <w:lang w:val="de-DE"/>
        </w:rPr>
        <w:lastRenderedPageBreak/>
        <w:t>5. Biện pháp tổ chức thực hiện nhiệm vụ trọng tâm năm 2016</w:t>
      </w:r>
    </w:p>
    <w:p w:rsidR="009A68B7" w:rsidRDefault="009A68B7" w:rsidP="00371BED">
      <w:pPr>
        <w:spacing w:after="120"/>
        <w:ind w:firstLine="567"/>
        <w:jc w:val="both"/>
        <w:rPr>
          <w:sz w:val="28"/>
          <w:szCs w:val="28"/>
          <w:lang w:val="de-DE"/>
        </w:rPr>
      </w:pPr>
      <w:r>
        <w:rPr>
          <w:sz w:val="28"/>
          <w:szCs w:val="28"/>
          <w:lang w:val="de-DE"/>
        </w:rPr>
        <w:t>1) Theo chức năng, nhiệm vụ, các đơn vị hoàn thành việc đăng ký các nhiệm vụ chính năm 2016 trên cơ sở 10 nhiệm vụ trọng tâm của Cục và nộp cho lãnh đạo Cục trước ngày 15/1/2016.</w:t>
      </w:r>
    </w:p>
    <w:p w:rsidR="00D84E99" w:rsidRDefault="00D84E99" w:rsidP="00371BED">
      <w:pPr>
        <w:spacing w:after="120"/>
        <w:ind w:firstLine="567"/>
        <w:jc w:val="both"/>
        <w:rPr>
          <w:sz w:val="28"/>
          <w:szCs w:val="28"/>
          <w:lang w:val="de-DE"/>
        </w:rPr>
      </w:pPr>
      <w:r>
        <w:rPr>
          <w:sz w:val="28"/>
          <w:szCs w:val="28"/>
          <w:lang w:val="de-DE"/>
        </w:rPr>
        <w:t>2) Trên cơ sở nhiệm vụ chính được phê duyệt của từng đơn vị, các cá nhân sẽ đăng ký với Thủ trưởng đơn vị các nhiệm vụ chính của mình trong năm 2016 và nộp cho lãnh đạo đơn vị trước ngày 20/1/2016, đồng thời chuyển cho Văn phòng để lưu vào hồ sơ cán bộ.</w:t>
      </w:r>
    </w:p>
    <w:p w:rsidR="00D84E99" w:rsidRDefault="00D84E99" w:rsidP="00371BED">
      <w:pPr>
        <w:spacing w:after="120"/>
        <w:ind w:firstLine="567"/>
        <w:jc w:val="both"/>
        <w:rPr>
          <w:sz w:val="28"/>
          <w:szCs w:val="28"/>
          <w:lang w:val="de-DE"/>
        </w:rPr>
      </w:pPr>
      <w:r>
        <w:rPr>
          <w:sz w:val="28"/>
          <w:szCs w:val="28"/>
          <w:lang w:val="de-DE"/>
        </w:rPr>
        <w:t>3) Thứ 2 tuần cuối cùng hàng tháng, Thủ trưởng các đơn vị tổ chức họp kiểm điểm công</w:t>
      </w:r>
      <w:r w:rsidR="00173F0C">
        <w:rPr>
          <w:sz w:val="28"/>
          <w:szCs w:val="28"/>
          <w:lang w:val="de-DE"/>
        </w:rPr>
        <w:t xml:space="preserve"> tác tháng, trong đó yêu cầu tất</w:t>
      </w:r>
      <w:r>
        <w:rPr>
          <w:sz w:val="28"/>
          <w:szCs w:val="28"/>
          <w:lang w:val="de-DE"/>
        </w:rPr>
        <w:t xml:space="preserve"> cả cán bộ công nhân viên và lãnh đạo đơn vị  báo cáo các nhiệm vụ đã làm, kết quả thu được (nhiệm vụ đã làm được) trong tháng và đề xuất các nhiệm vụ trong tháng tiếp theo. Thủ trưởng đơn vị chủ trì họp đánh giá kết quả công tác của từng người và thống nhất giao nhiệm vụ của tháng tiếp theo.</w:t>
      </w:r>
      <w:r w:rsidR="00A121A0">
        <w:rPr>
          <w:sz w:val="28"/>
          <w:szCs w:val="28"/>
          <w:lang w:val="de-DE"/>
        </w:rPr>
        <w:t xml:space="preserve"> Biên bản họp </w:t>
      </w:r>
      <w:r w:rsidR="00173F0C">
        <w:rPr>
          <w:sz w:val="28"/>
          <w:szCs w:val="28"/>
          <w:lang w:val="de-DE"/>
        </w:rPr>
        <w:t>giao ban tháng của đơ</w:t>
      </w:r>
      <w:r w:rsidR="00A121A0">
        <w:rPr>
          <w:sz w:val="28"/>
          <w:szCs w:val="28"/>
          <w:lang w:val="de-DE"/>
        </w:rPr>
        <w:t>n vị sẽ được lưu tại đơn vị.</w:t>
      </w:r>
    </w:p>
    <w:p w:rsidR="00D84E99" w:rsidRDefault="00D84E99" w:rsidP="00371BED">
      <w:pPr>
        <w:spacing w:after="120"/>
        <w:ind w:firstLine="567"/>
        <w:jc w:val="both"/>
        <w:rPr>
          <w:sz w:val="28"/>
          <w:szCs w:val="28"/>
          <w:lang w:val="de-DE"/>
        </w:rPr>
      </w:pPr>
      <w:r>
        <w:rPr>
          <w:sz w:val="28"/>
          <w:szCs w:val="28"/>
          <w:lang w:val="de-DE"/>
        </w:rPr>
        <w:t xml:space="preserve">4) Thứ 2 tuần đầu tiên của tháng, Cục trưởng chủ trì giao ban tháng, trong đó Thủ trưởng các đơn vị báo cáo kết quả công tác tháng  vừa qua và kế hoạch dự kiến cho tháng tiếp theo để xin ý kiến. Lãnh đạo Cục và lãnh đạo các đơn vị báo cáo công việc đã trực tiếp chỉ đạo và </w:t>
      </w:r>
      <w:r w:rsidR="00173F0C">
        <w:rPr>
          <w:sz w:val="28"/>
          <w:szCs w:val="28"/>
          <w:lang w:val="de-DE"/>
        </w:rPr>
        <w:t xml:space="preserve">trực tiếp </w:t>
      </w:r>
      <w:r>
        <w:rPr>
          <w:sz w:val="28"/>
          <w:szCs w:val="28"/>
          <w:lang w:val="de-DE"/>
        </w:rPr>
        <w:t>thực hiện trong tháng, kết quả thu được và đề xuất các nhiệm vụ trong tháng sẽ thực hiện (bao gồm cả</w:t>
      </w:r>
      <w:r w:rsidR="00173F0C">
        <w:rPr>
          <w:sz w:val="28"/>
          <w:szCs w:val="28"/>
          <w:lang w:val="de-DE"/>
        </w:rPr>
        <w:t xml:space="preserve"> những nhiệm vụ chỉ đạo và</w:t>
      </w:r>
      <w:r>
        <w:rPr>
          <w:sz w:val="28"/>
          <w:szCs w:val="28"/>
          <w:lang w:val="de-DE"/>
        </w:rPr>
        <w:t xml:space="preserve"> nhiệm vụ phải trực tiếp làm).</w:t>
      </w:r>
      <w:r w:rsidR="00A121A0">
        <w:rPr>
          <w:sz w:val="28"/>
          <w:szCs w:val="28"/>
          <w:lang w:val="de-DE"/>
        </w:rPr>
        <w:t xml:space="preserve"> Báo cáo của các đơn vị và của lãnh đạo Cục, lãnh đạo các đơn vị sẽ được nộp cho Văn phòng để quản lý hồ sơ công việc của lãnh đạo và các đơn vị</w:t>
      </w:r>
      <w:r w:rsidR="00B812CC">
        <w:rPr>
          <w:sz w:val="28"/>
          <w:szCs w:val="28"/>
          <w:lang w:val="de-DE"/>
        </w:rPr>
        <w:t xml:space="preserve"> hàng năm</w:t>
      </w:r>
      <w:r w:rsidR="00A121A0">
        <w:rPr>
          <w:sz w:val="28"/>
          <w:szCs w:val="28"/>
          <w:lang w:val="de-DE"/>
        </w:rPr>
        <w:t>. Nội dung họp giao ban tháng sẽ được ghi chép đầy đủ</w:t>
      </w:r>
      <w:r w:rsidR="00B812CC">
        <w:rPr>
          <w:sz w:val="28"/>
          <w:szCs w:val="28"/>
          <w:lang w:val="de-DE"/>
        </w:rPr>
        <w:t xml:space="preserve"> trong sổ, lư</w:t>
      </w:r>
      <w:r w:rsidR="00A121A0">
        <w:rPr>
          <w:sz w:val="28"/>
          <w:szCs w:val="28"/>
          <w:lang w:val="de-DE"/>
        </w:rPr>
        <w:t>u tại Van phòng Cục</w:t>
      </w:r>
      <w:r w:rsidR="00B812CC">
        <w:rPr>
          <w:sz w:val="28"/>
          <w:szCs w:val="28"/>
          <w:lang w:val="de-DE"/>
        </w:rPr>
        <w:t xml:space="preserve"> và các kết luận chính sẽ được thông báo cho cán bộ công nhân viên trong Cục biết</w:t>
      </w:r>
      <w:r w:rsidR="00A121A0">
        <w:rPr>
          <w:sz w:val="28"/>
          <w:szCs w:val="28"/>
          <w:lang w:val="de-DE"/>
        </w:rPr>
        <w:t>.</w:t>
      </w:r>
    </w:p>
    <w:p w:rsidR="00A121A0" w:rsidRDefault="00A121A0" w:rsidP="00371BED">
      <w:pPr>
        <w:spacing w:after="120"/>
        <w:ind w:firstLine="567"/>
        <w:jc w:val="both"/>
        <w:rPr>
          <w:sz w:val="28"/>
          <w:szCs w:val="28"/>
          <w:lang w:val="de-DE"/>
        </w:rPr>
      </w:pPr>
      <w:r>
        <w:rPr>
          <w:sz w:val="28"/>
          <w:szCs w:val="28"/>
          <w:lang w:val="de-DE"/>
        </w:rPr>
        <w:t>5) Tổ</w:t>
      </w:r>
      <w:r w:rsidR="00B812CC">
        <w:rPr>
          <w:sz w:val="28"/>
          <w:szCs w:val="28"/>
          <w:lang w:val="de-DE"/>
        </w:rPr>
        <w:t xml:space="preserve"> chứ</w:t>
      </w:r>
      <w:r>
        <w:rPr>
          <w:sz w:val="28"/>
          <w:szCs w:val="28"/>
          <w:lang w:val="de-DE"/>
        </w:rPr>
        <w:t xml:space="preserve">c đánh giá cán bộ công chức hàng năm theo Nghị định 56/2015/NĐ-CP </w:t>
      </w:r>
      <w:r w:rsidR="00B812CC">
        <w:rPr>
          <w:sz w:val="28"/>
          <w:szCs w:val="28"/>
          <w:lang w:val="de-DE"/>
        </w:rPr>
        <w:t>vào tháng 12 hàng năm được</w:t>
      </w:r>
      <w:r>
        <w:rPr>
          <w:sz w:val="28"/>
          <w:szCs w:val="28"/>
          <w:lang w:val="de-DE"/>
        </w:rPr>
        <w:t xml:space="preserve"> th</w:t>
      </w:r>
      <w:r w:rsidR="00B812CC">
        <w:rPr>
          <w:sz w:val="28"/>
          <w:szCs w:val="28"/>
          <w:lang w:val="de-DE"/>
        </w:rPr>
        <w:t>ự</w:t>
      </w:r>
      <w:r>
        <w:rPr>
          <w:sz w:val="28"/>
          <w:szCs w:val="28"/>
          <w:lang w:val="de-DE"/>
        </w:rPr>
        <w:t>c hiện theo quy trình sau:</w:t>
      </w:r>
    </w:p>
    <w:p w:rsidR="00A121A0" w:rsidRDefault="00A121A0" w:rsidP="00371BED">
      <w:pPr>
        <w:spacing w:after="120"/>
        <w:ind w:firstLine="567"/>
        <w:jc w:val="both"/>
        <w:rPr>
          <w:sz w:val="28"/>
          <w:szCs w:val="28"/>
          <w:lang w:val="de-DE"/>
        </w:rPr>
      </w:pPr>
      <w:r>
        <w:rPr>
          <w:sz w:val="28"/>
          <w:szCs w:val="28"/>
          <w:lang w:val="de-DE"/>
        </w:rPr>
        <w:t xml:space="preserve">- </w:t>
      </w:r>
      <w:r w:rsidR="00B812CC">
        <w:rPr>
          <w:sz w:val="28"/>
          <w:szCs w:val="28"/>
          <w:lang w:val="de-DE"/>
        </w:rPr>
        <w:t>Thủ trưởng đơn vị tổ chứ</w:t>
      </w:r>
      <w:r>
        <w:rPr>
          <w:sz w:val="28"/>
          <w:szCs w:val="28"/>
          <w:lang w:val="de-DE"/>
        </w:rPr>
        <w:t>c họp kiểm điểm c</w:t>
      </w:r>
      <w:r w:rsidR="00B812CC">
        <w:rPr>
          <w:sz w:val="28"/>
          <w:szCs w:val="28"/>
          <w:lang w:val="de-DE"/>
        </w:rPr>
        <w:t>ông tác năm của từng ngườ</w:t>
      </w:r>
      <w:r w:rsidR="00173F0C">
        <w:rPr>
          <w:sz w:val="28"/>
          <w:szCs w:val="28"/>
          <w:lang w:val="de-DE"/>
        </w:rPr>
        <w:t>i và bỏ phiếu xếp loại</w:t>
      </w:r>
      <w:r>
        <w:rPr>
          <w:sz w:val="28"/>
          <w:szCs w:val="28"/>
          <w:lang w:val="de-DE"/>
        </w:rPr>
        <w:t xml:space="preserve"> cán bộ </w:t>
      </w:r>
      <w:r w:rsidR="00B812CC">
        <w:rPr>
          <w:sz w:val="28"/>
          <w:szCs w:val="28"/>
          <w:lang w:val="de-DE"/>
        </w:rPr>
        <w:t xml:space="preserve">công chức </w:t>
      </w:r>
      <w:r>
        <w:rPr>
          <w:sz w:val="28"/>
          <w:szCs w:val="28"/>
          <w:lang w:val="de-DE"/>
        </w:rPr>
        <w:t>theo 4 tiêu chí của Nghị định 56/2015/NĐ-CP. Biên bản họp</w:t>
      </w:r>
      <w:r w:rsidR="00B812CC">
        <w:rPr>
          <w:sz w:val="28"/>
          <w:szCs w:val="28"/>
          <w:lang w:val="de-DE"/>
        </w:rPr>
        <w:t>, ý kiến đánh giá của Thủ trưởng đơ</w:t>
      </w:r>
      <w:r>
        <w:rPr>
          <w:sz w:val="28"/>
          <w:szCs w:val="28"/>
          <w:lang w:val="de-DE"/>
        </w:rPr>
        <w:t>n vị</w:t>
      </w:r>
      <w:r w:rsidR="00B812CC">
        <w:rPr>
          <w:sz w:val="28"/>
          <w:szCs w:val="28"/>
          <w:lang w:val="de-DE"/>
        </w:rPr>
        <w:t xml:space="preserve"> cho tất cả các thành viên của đơ</w:t>
      </w:r>
      <w:r>
        <w:rPr>
          <w:sz w:val="28"/>
          <w:szCs w:val="28"/>
          <w:lang w:val="de-DE"/>
        </w:rPr>
        <w:t>n vị</w:t>
      </w:r>
      <w:r w:rsidR="00173F0C">
        <w:rPr>
          <w:sz w:val="28"/>
          <w:szCs w:val="28"/>
          <w:lang w:val="de-DE"/>
        </w:rPr>
        <w:t xml:space="preserve"> và kết quả bỏ phiếu xếp loại</w:t>
      </w:r>
      <w:r w:rsidR="00B812CC">
        <w:rPr>
          <w:sz w:val="28"/>
          <w:szCs w:val="28"/>
          <w:lang w:val="de-DE"/>
        </w:rPr>
        <w:t xml:space="preserve"> cán bộ công chức được chuyển cho Văn phòng để lưu hồ sơ</w:t>
      </w:r>
      <w:r w:rsidR="00173F0C">
        <w:rPr>
          <w:sz w:val="28"/>
          <w:szCs w:val="28"/>
          <w:lang w:val="de-DE"/>
        </w:rPr>
        <w:t xml:space="preserve"> cán bộ.</w:t>
      </w:r>
    </w:p>
    <w:p w:rsidR="00173F0C" w:rsidRDefault="00B812CC" w:rsidP="00371BED">
      <w:pPr>
        <w:spacing w:after="120"/>
        <w:ind w:firstLine="567"/>
        <w:jc w:val="both"/>
        <w:rPr>
          <w:sz w:val="28"/>
          <w:szCs w:val="28"/>
          <w:lang w:val="de-DE"/>
        </w:rPr>
      </w:pPr>
      <w:r>
        <w:rPr>
          <w:sz w:val="28"/>
          <w:szCs w:val="28"/>
          <w:lang w:val="de-DE"/>
        </w:rPr>
        <w:t>- Cục trưở</w:t>
      </w:r>
      <w:r w:rsidR="00173F0C">
        <w:rPr>
          <w:sz w:val="28"/>
          <w:szCs w:val="28"/>
          <w:lang w:val="de-DE"/>
        </w:rPr>
        <w:t>ng cho ý kiế</w:t>
      </w:r>
      <w:r>
        <w:rPr>
          <w:sz w:val="28"/>
          <w:szCs w:val="28"/>
          <w:lang w:val="de-DE"/>
        </w:rPr>
        <w:t>n đánh giá đối vói Thủ trưởng các đơn vị của Cục trên cơ sở</w:t>
      </w:r>
      <w:r w:rsidR="00173F0C">
        <w:rPr>
          <w:sz w:val="28"/>
          <w:szCs w:val="28"/>
          <w:lang w:val="de-DE"/>
        </w:rPr>
        <w:t xml:space="preserve"> tham khảo ý kiến của lãnh đạo Cục. </w:t>
      </w:r>
      <w:r>
        <w:rPr>
          <w:sz w:val="28"/>
          <w:szCs w:val="28"/>
          <w:lang w:val="de-DE"/>
        </w:rPr>
        <w:t>Ý kiến đánh giá của Cục trưởng đổi với Thủ trưởng các đơn vị được lưu trong hồ sơ</w:t>
      </w:r>
      <w:r w:rsidR="00173F0C">
        <w:rPr>
          <w:sz w:val="28"/>
          <w:szCs w:val="28"/>
          <w:lang w:val="de-DE"/>
        </w:rPr>
        <w:t xml:space="preserve"> cán bộ tại Văn phòng Cục.</w:t>
      </w:r>
    </w:p>
    <w:p w:rsidR="00173F0C" w:rsidRPr="009A68B7" w:rsidRDefault="00173F0C" w:rsidP="00371BED">
      <w:pPr>
        <w:spacing w:after="120"/>
        <w:ind w:firstLine="567"/>
        <w:jc w:val="both"/>
        <w:rPr>
          <w:sz w:val="28"/>
          <w:szCs w:val="28"/>
          <w:lang w:val="de-DE"/>
        </w:rPr>
      </w:pPr>
      <w:r>
        <w:rPr>
          <w:sz w:val="28"/>
          <w:szCs w:val="28"/>
          <w:lang w:val="de-DE"/>
        </w:rPr>
        <w:t xml:space="preserve">- Cục trưởng chủ trì họp kiểm điểm công tác năm của lãnh đạo Cục với sự tham dự của lãnh đạo các đơn vị và Kế toán trưởng. Các thành viên tham gia họp kiểm điểm lãnh đạo Cục bỏ phiếu xếp loại cán bộ </w:t>
      </w:r>
      <w:r w:rsidR="00B812CC">
        <w:rPr>
          <w:sz w:val="28"/>
          <w:szCs w:val="28"/>
          <w:lang w:val="de-DE"/>
        </w:rPr>
        <w:t xml:space="preserve">công chức </w:t>
      </w:r>
      <w:r>
        <w:rPr>
          <w:sz w:val="28"/>
          <w:szCs w:val="28"/>
          <w:lang w:val="de-DE"/>
        </w:rPr>
        <w:t>cho thành viên ban lãnh đạo Cục theo 4 tiêu chí của Nghị định 56/2015/NĐ-CP. Biên bản họp, ý kiến đanh giá của Cục trưởng đối với từng thành viên ban lãnh đạo Cục và kết quả bỏ phiếu xếp loại cán bộ công chức đối với từng thành viên ban lãnh đạo Cục được lưu tại Cục và gửi cho Vụ TCCB.</w:t>
      </w:r>
    </w:p>
    <w:p w:rsidR="00371BED" w:rsidRPr="009A68B7" w:rsidRDefault="00371BED" w:rsidP="00727305">
      <w:pPr>
        <w:spacing w:after="120"/>
        <w:ind w:firstLine="567"/>
        <w:jc w:val="both"/>
        <w:rPr>
          <w:b/>
          <w:color w:val="0033CC"/>
          <w:sz w:val="28"/>
          <w:szCs w:val="28"/>
          <w:lang w:val="de-DE"/>
        </w:rPr>
      </w:pPr>
    </w:p>
    <w:tbl>
      <w:tblPr>
        <w:tblW w:w="0" w:type="auto"/>
        <w:tblLook w:val="01E0"/>
      </w:tblPr>
      <w:tblGrid>
        <w:gridCol w:w="5328"/>
        <w:gridCol w:w="4500"/>
      </w:tblGrid>
      <w:tr w:rsidR="00453666" w:rsidRPr="008E52EC" w:rsidTr="00453666">
        <w:trPr>
          <w:trHeight w:val="1605"/>
        </w:trPr>
        <w:tc>
          <w:tcPr>
            <w:tcW w:w="5328" w:type="dxa"/>
            <w:shd w:val="clear" w:color="auto" w:fill="auto"/>
          </w:tcPr>
          <w:p w:rsidR="00453666" w:rsidRPr="0034151C" w:rsidRDefault="00453666" w:rsidP="00453666">
            <w:pPr>
              <w:jc w:val="both"/>
              <w:rPr>
                <w:lang w:val="de-DE"/>
              </w:rPr>
            </w:pPr>
            <w:r w:rsidRPr="0034151C">
              <w:rPr>
                <w:lang w:val="de-DE"/>
              </w:rPr>
              <w:lastRenderedPageBreak/>
              <w:t>Nơi nhận:</w:t>
            </w:r>
          </w:p>
          <w:p w:rsidR="007F1BD0" w:rsidRDefault="00453666" w:rsidP="00453666">
            <w:pPr>
              <w:jc w:val="both"/>
              <w:rPr>
                <w:lang w:val="de-DE"/>
              </w:rPr>
            </w:pPr>
            <w:r w:rsidRPr="0034151C">
              <w:rPr>
                <w:lang w:val="de-DE"/>
              </w:rPr>
              <w:t>-</w:t>
            </w:r>
            <w:r w:rsidR="00FC3D96">
              <w:rPr>
                <w:lang w:val="de-DE"/>
              </w:rPr>
              <w:t xml:space="preserve"> Lãnh đạo Cục</w:t>
            </w:r>
            <w:r w:rsidR="007F1BD0" w:rsidRPr="0034151C">
              <w:rPr>
                <w:lang w:val="de-DE"/>
              </w:rPr>
              <w:t>;</w:t>
            </w:r>
          </w:p>
          <w:p w:rsidR="00FC3D96" w:rsidRDefault="00FC3D96" w:rsidP="00453666">
            <w:pPr>
              <w:jc w:val="both"/>
              <w:rPr>
                <w:lang w:val="de-DE"/>
              </w:rPr>
            </w:pPr>
            <w:r>
              <w:rPr>
                <w:lang w:val="de-DE"/>
              </w:rPr>
              <w:t>- Cấp ủy Cục;</w:t>
            </w:r>
          </w:p>
          <w:p w:rsidR="00FC3D96" w:rsidRDefault="00FC3D96" w:rsidP="00453666">
            <w:pPr>
              <w:jc w:val="both"/>
              <w:rPr>
                <w:lang w:val="de-DE"/>
              </w:rPr>
            </w:pPr>
            <w:r>
              <w:rPr>
                <w:lang w:val="de-DE"/>
              </w:rPr>
              <w:t>- BCH Công đoàn Cục</w:t>
            </w:r>
          </w:p>
          <w:p w:rsidR="00FC3D96" w:rsidRPr="0034151C" w:rsidRDefault="00FC3D96" w:rsidP="00453666">
            <w:pPr>
              <w:jc w:val="both"/>
              <w:rPr>
                <w:lang w:val="de-DE"/>
              </w:rPr>
            </w:pPr>
            <w:r>
              <w:rPr>
                <w:lang w:val="de-DE"/>
              </w:rPr>
              <w:t>- Thủ trưởng các đơn vị trực thuộc</w:t>
            </w:r>
          </w:p>
          <w:p w:rsidR="00453666" w:rsidRPr="0034151C" w:rsidRDefault="00453666" w:rsidP="00453666">
            <w:pPr>
              <w:jc w:val="both"/>
              <w:rPr>
                <w:b/>
                <w:lang w:val="de-DE"/>
              </w:rPr>
            </w:pPr>
            <w:r w:rsidRPr="0034151C">
              <w:rPr>
                <w:lang w:val="de-DE"/>
              </w:rPr>
              <w:t>- Lưu: VT.</w:t>
            </w:r>
          </w:p>
        </w:tc>
        <w:tc>
          <w:tcPr>
            <w:tcW w:w="4500" w:type="dxa"/>
            <w:shd w:val="clear" w:color="auto" w:fill="auto"/>
          </w:tcPr>
          <w:p w:rsidR="00453666" w:rsidRPr="0034151C" w:rsidRDefault="00453666" w:rsidP="005748C2">
            <w:pPr>
              <w:jc w:val="center"/>
              <w:rPr>
                <w:b/>
                <w:sz w:val="28"/>
                <w:szCs w:val="28"/>
                <w:lang w:val="de-DE"/>
              </w:rPr>
            </w:pPr>
            <w:r w:rsidRPr="0034151C">
              <w:rPr>
                <w:b/>
                <w:sz w:val="28"/>
                <w:szCs w:val="28"/>
                <w:lang w:val="de-DE"/>
              </w:rPr>
              <w:t>CỤC TRƯỞNG</w:t>
            </w:r>
          </w:p>
          <w:p w:rsidR="00453666" w:rsidRPr="0034151C" w:rsidRDefault="00453666" w:rsidP="005748C2">
            <w:pPr>
              <w:jc w:val="center"/>
              <w:rPr>
                <w:b/>
                <w:sz w:val="28"/>
                <w:szCs w:val="28"/>
                <w:lang w:val="de-DE"/>
              </w:rPr>
            </w:pPr>
          </w:p>
          <w:p w:rsidR="007005A8" w:rsidRPr="0034151C" w:rsidRDefault="007005A8" w:rsidP="005748C2">
            <w:pPr>
              <w:jc w:val="center"/>
              <w:rPr>
                <w:b/>
                <w:sz w:val="28"/>
                <w:szCs w:val="28"/>
                <w:lang w:val="de-DE"/>
              </w:rPr>
            </w:pPr>
          </w:p>
          <w:p w:rsidR="00DC6CD8" w:rsidRPr="0034151C" w:rsidRDefault="00DC6CD8" w:rsidP="005748C2">
            <w:pPr>
              <w:jc w:val="center"/>
              <w:rPr>
                <w:b/>
                <w:sz w:val="28"/>
                <w:szCs w:val="28"/>
                <w:lang w:val="de-DE"/>
              </w:rPr>
            </w:pPr>
          </w:p>
          <w:p w:rsidR="009F51A6" w:rsidRPr="0034151C" w:rsidRDefault="009F51A6" w:rsidP="005748C2">
            <w:pPr>
              <w:jc w:val="center"/>
              <w:rPr>
                <w:b/>
                <w:sz w:val="28"/>
                <w:szCs w:val="28"/>
                <w:lang w:val="de-DE"/>
              </w:rPr>
            </w:pPr>
          </w:p>
          <w:p w:rsidR="00453666" w:rsidRPr="0034151C" w:rsidRDefault="00453666" w:rsidP="005748C2">
            <w:pPr>
              <w:jc w:val="center"/>
              <w:rPr>
                <w:b/>
                <w:sz w:val="28"/>
                <w:szCs w:val="28"/>
                <w:lang w:val="de-DE"/>
              </w:rPr>
            </w:pPr>
          </w:p>
          <w:p w:rsidR="00453666" w:rsidRPr="008E52EC" w:rsidRDefault="00453666" w:rsidP="005748C2">
            <w:pPr>
              <w:jc w:val="center"/>
              <w:rPr>
                <w:b/>
                <w:sz w:val="28"/>
                <w:szCs w:val="28"/>
                <w:lang w:val="de-DE"/>
              </w:rPr>
            </w:pPr>
            <w:r w:rsidRPr="0034151C">
              <w:rPr>
                <w:b/>
                <w:sz w:val="28"/>
                <w:szCs w:val="28"/>
                <w:lang w:val="de-DE"/>
              </w:rPr>
              <w:t>Vương Hữu Tấn</w:t>
            </w:r>
          </w:p>
        </w:tc>
      </w:tr>
    </w:tbl>
    <w:p w:rsidR="00E87C99" w:rsidRPr="008E52EC" w:rsidRDefault="00E87C99" w:rsidP="002E0046">
      <w:pPr>
        <w:spacing w:before="120"/>
        <w:jc w:val="both"/>
        <w:rPr>
          <w:sz w:val="28"/>
          <w:szCs w:val="28"/>
          <w:lang w:val="de-DE"/>
        </w:rPr>
      </w:pPr>
    </w:p>
    <w:sectPr w:rsidR="00E87C99" w:rsidRPr="008E52EC" w:rsidSect="007005A8">
      <w:footerReference w:type="default" r:id="rId7"/>
      <w:pgSz w:w="11907" w:h="16840" w:code="9"/>
      <w:pgMar w:top="907" w:right="851" w:bottom="907" w:left="1418" w:header="227" w:footer="22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C06" w:rsidRDefault="005C2C06" w:rsidP="00371728">
      <w:r>
        <w:separator/>
      </w:r>
    </w:p>
  </w:endnote>
  <w:endnote w:type="continuationSeparator" w:id="1">
    <w:p w:rsidR="005C2C06" w:rsidRDefault="005C2C06" w:rsidP="00371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C7" w:rsidRDefault="008128C7">
    <w:pPr>
      <w:pStyle w:val="Footer"/>
      <w:jc w:val="center"/>
    </w:pPr>
    <w:fldSimple w:instr=" PAGE   \* MERGEFORMAT ">
      <w:r w:rsidR="00704308">
        <w:rPr>
          <w:noProof/>
        </w:rPr>
        <w:t>1</w:t>
      </w:r>
    </w:fldSimple>
  </w:p>
  <w:p w:rsidR="008128C7" w:rsidRDefault="008128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C06" w:rsidRDefault="005C2C06" w:rsidP="00371728">
      <w:r>
        <w:separator/>
      </w:r>
    </w:p>
  </w:footnote>
  <w:footnote w:type="continuationSeparator" w:id="1">
    <w:p w:rsidR="005C2C06" w:rsidRDefault="005C2C06" w:rsidP="003717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E08"/>
    <w:multiLevelType w:val="hybridMultilevel"/>
    <w:tmpl w:val="34422F6A"/>
    <w:lvl w:ilvl="0" w:tplc="6E482C8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9445B"/>
    <w:multiLevelType w:val="hybridMultilevel"/>
    <w:tmpl w:val="30DEFC6C"/>
    <w:lvl w:ilvl="0" w:tplc="CCEC0B42">
      <w:start w:val="1"/>
      <w:numFmt w:val="decimal"/>
      <w:lvlText w:val="%1."/>
      <w:lvlJc w:val="left"/>
      <w:pPr>
        <w:tabs>
          <w:tab w:val="num" w:pos="1107"/>
        </w:tabs>
        <w:ind w:left="1107" w:hanging="567"/>
      </w:pPr>
      <w:rPr>
        <w:rFonts w:hint="default"/>
        <w:lang w:val="de-DE"/>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17957207"/>
    <w:multiLevelType w:val="hybridMultilevel"/>
    <w:tmpl w:val="23BADA42"/>
    <w:lvl w:ilvl="0" w:tplc="46324FF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C620B4"/>
    <w:multiLevelType w:val="hybridMultilevel"/>
    <w:tmpl w:val="890870E8"/>
    <w:lvl w:ilvl="0" w:tplc="6E482C8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C05934"/>
    <w:multiLevelType w:val="hybridMultilevel"/>
    <w:tmpl w:val="0624CC98"/>
    <w:lvl w:ilvl="0" w:tplc="71BA4C6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33720"/>
    <w:multiLevelType w:val="hybridMultilevel"/>
    <w:tmpl w:val="F00CAF00"/>
    <w:lvl w:ilvl="0" w:tplc="9970CA3C">
      <w:start w:val="3"/>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354CBC"/>
    <w:multiLevelType w:val="hybridMultilevel"/>
    <w:tmpl w:val="522CEF72"/>
    <w:lvl w:ilvl="0" w:tplc="6E482C82">
      <w:start w:val="1"/>
      <w:numFmt w:val="bullet"/>
      <w:lvlText w:val="-"/>
      <w:lvlJc w:val="left"/>
      <w:pPr>
        <w:ind w:left="1429" w:hanging="360"/>
      </w:pPr>
      <w:rPr>
        <w:rFonts w:ascii="Times New Roman" w:eastAsia="Calibri"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80514C6"/>
    <w:multiLevelType w:val="hybridMultilevel"/>
    <w:tmpl w:val="7ED2B4C6"/>
    <w:lvl w:ilvl="0" w:tplc="2550C5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1B0EDB"/>
    <w:multiLevelType w:val="hybridMultilevel"/>
    <w:tmpl w:val="180AB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413C8"/>
    <w:multiLevelType w:val="hybridMultilevel"/>
    <w:tmpl w:val="BD7024FE"/>
    <w:lvl w:ilvl="0" w:tplc="A4942FC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FC02B4"/>
    <w:multiLevelType w:val="hybridMultilevel"/>
    <w:tmpl w:val="E392DD7C"/>
    <w:lvl w:ilvl="0" w:tplc="83F274EC">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6607B0"/>
    <w:multiLevelType w:val="hybridMultilevel"/>
    <w:tmpl w:val="4BD45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9457D0"/>
    <w:multiLevelType w:val="hybridMultilevel"/>
    <w:tmpl w:val="30DEFC6C"/>
    <w:lvl w:ilvl="0" w:tplc="CCEC0B42">
      <w:start w:val="1"/>
      <w:numFmt w:val="decimal"/>
      <w:lvlText w:val="%1."/>
      <w:lvlJc w:val="left"/>
      <w:pPr>
        <w:tabs>
          <w:tab w:val="num" w:pos="964"/>
        </w:tabs>
        <w:ind w:left="964" w:hanging="567"/>
      </w:pPr>
      <w:rPr>
        <w:rFonts w:hint="default"/>
        <w:lang w:val="de-DE"/>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13">
    <w:nsid w:val="3C007EF9"/>
    <w:multiLevelType w:val="hybridMultilevel"/>
    <w:tmpl w:val="30DEFC6C"/>
    <w:lvl w:ilvl="0" w:tplc="CCEC0B42">
      <w:start w:val="1"/>
      <w:numFmt w:val="decimal"/>
      <w:lvlText w:val="%1."/>
      <w:lvlJc w:val="left"/>
      <w:pPr>
        <w:tabs>
          <w:tab w:val="num" w:pos="567"/>
        </w:tabs>
        <w:ind w:left="567" w:hanging="567"/>
      </w:pPr>
      <w:rPr>
        <w:rFonts w:hint="default"/>
        <w:lang w:val="de-D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9F2BC7"/>
    <w:multiLevelType w:val="hybridMultilevel"/>
    <w:tmpl w:val="885820F0"/>
    <w:lvl w:ilvl="0" w:tplc="0A8E3856">
      <w:start w:val="2"/>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51DB1382"/>
    <w:multiLevelType w:val="hybridMultilevel"/>
    <w:tmpl w:val="832A6D2A"/>
    <w:lvl w:ilvl="0" w:tplc="C4904D3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2780A9C"/>
    <w:multiLevelType w:val="hybridMultilevel"/>
    <w:tmpl w:val="E74A86A4"/>
    <w:lvl w:ilvl="0" w:tplc="F01AB1EA">
      <w:start w:val="1"/>
      <w:numFmt w:val="lowerLetter"/>
      <w:lvlText w:val="%1)"/>
      <w:lvlJc w:val="left"/>
      <w:pPr>
        <w:ind w:left="899" w:hanging="360"/>
      </w:pPr>
      <w:rPr>
        <w:rFonts w:hint="default"/>
        <w:color w:val="auto"/>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7">
    <w:nsid w:val="53C5781B"/>
    <w:multiLevelType w:val="hybridMultilevel"/>
    <w:tmpl w:val="F2DEE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704FEA"/>
    <w:multiLevelType w:val="hybridMultilevel"/>
    <w:tmpl w:val="0B0AD1AC"/>
    <w:lvl w:ilvl="0" w:tplc="F7C6FF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B202AF1"/>
    <w:multiLevelType w:val="hybridMultilevel"/>
    <w:tmpl w:val="253264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604E69"/>
    <w:multiLevelType w:val="hybridMultilevel"/>
    <w:tmpl w:val="093A73E2"/>
    <w:lvl w:ilvl="0" w:tplc="861EB2B2">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811EC2"/>
    <w:multiLevelType w:val="hybridMultilevel"/>
    <w:tmpl w:val="1004C9A4"/>
    <w:lvl w:ilvl="0" w:tplc="CD6EA7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317249F"/>
    <w:multiLevelType w:val="hybridMultilevel"/>
    <w:tmpl w:val="602CF81E"/>
    <w:lvl w:ilvl="0" w:tplc="8F263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FD22A4"/>
    <w:multiLevelType w:val="hybridMultilevel"/>
    <w:tmpl w:val="3ECC7714"/>
    <w:lvl w:ilvl="0" w:tplc="A95A5968">
      <w:start w:val="1"/>
      <w:numFmt w:val="bullet"/>
      <w:lvlText w:val=""/>
      <w:lvlJc w:val="left"/>
      <w:pPr>
        <w:tabs>
          <w:tab w:val="num" w:pos="1872"/>
        </w:tabs>
        <w:ind w:left="1872" w:hanging="360"/>
      </w:pPr>
      <w:rPr>
        <w:rFonts w:ascii="Symbol" w:hAnsi="Symbol" w:hint="default"/>
        <w:color w:val="auto"/>
        <w:sz w:val="13"/>
        <w:szCs w:val="13"/>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9546A5"/>
    <w:multiLevelType w:val="hybridMultilevel"/>
    <w:tmpl w:val="6AF00F2C"/>
    <w:lvl w:ilvl="0" w:tplc="BA12BD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DA1407"/>
    <w:multiLevelType w:val="hybridMultilevel"/>
    <w:tmpl w:val="810058D8"/>
    <w:lvl w:ilvl="0" w:tplc="305CBCF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D6043E0"/>
    <w:multiLevelType w:val="hybridMultilevel"/>
    <w:tmpl w:val="2438BD8A"/>
    <w:lvl w:ilvl="0" w:tplc="4F62EF9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C434D9"/>
    <w:multiLevelType w:val="hybridMultilevel"/>
    <w:tmpl w:val="92B24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192DBA"/>
    <w:multiLevelType w:val="hybridMultilevel"/>
    <w:tmpl w:val="6B262F46"/>
    <w:lvl w:ilvl="0" w:tplc="CBA2841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9737B7"/>
    <w:multiLevelType w:val="hybridMultilevel"/>
    <w:tmpl w:val="30DEFC6C"/>
    <w:lvl w:ilvl="0" w:tplc="CCEC0B42">
      <w:start w:val="1"/>
      <w:numFmt w:val="decimal"/>
      <w:lvlText w:val="%1."/>
      <w:lvlJc w:val="left"/>
      <w:pPr>
        <w:tabs>
          <w:tab w:val="num" w:pos="964"/>
        </w:tabs>
        <w:ind w:left="964" w:hanging="567"/>
      </w:pPr>
      <w:rPr>
        <w:rFonts w:hint="default"/>
        <w:lang w:val="de-DE"/>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0">
    <w:nsid w:val="78B634A8"/>
    <w:multiLevelType w:val="hybridMultilevel"/>
    <w:tmpl w:val="0D7A7952"/>
    <w:lvl w:ilvl="0" w:tplc="1894607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A031BB9"/>
    <w:multiLevelType w:val="hybridMultilevel"/>
    <w:tmpl w:val="9BA8F2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AE32874"/>
    <w:multiLevelType w:val="hybridMultilevel"/>
    <w:tmpl w:val="26C2256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ED6F0F"/>
    <w:multiLevelType w:val="hybridMultilevel"/>
    <w:tmpl w:val="DB865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9"/>
  </w:num>
  <w:num w:numId="3">
    <w:abstractNumId w:val="1"/>
  </w:num>
  <w:num w:numId="4">
    <w:abstractNumId w:val="12"/>
  </w:num>
  <w:num w:numId="5">
    <w:abstractNumId w:val="23"/>
  </w:num>
  <w:num w:numId="6">
    <w:abstractNumId w:val="32"/>
  </w:num>
  <w:num w:numId="7">
    <w:abstractNumId w:val="33"/>
  </w:num>
  <w:num w:numId="8">
    <w:abstractNumId w:val="2"/>
  </w:num>
  <w:num w:numId="9">
    <w:abstractNumId w:val="15"/>
  </w:num>
  <w:num w:numId="10">
    <w:abstractNumId w:val="20"/>
  </w:num>
  <w:num w:numId="11">
    <w:abstractNumId w:val="14"/>
  </w:num>
  <w:num w:numId="12">
    <w:abstractNumId w:val="31"/>
  </w:num>
  <w:num w:numId="13">
    <w:abstractNumId w:val="10"/>
  </w:num>
  <w:num w:numId="14">
    <w:abstractNumId w:val="5"/>
  </w:num>
  <w:num w:numId="15">
    <w:abstractNumId w:val="16"/>
  </w:num>
  <w:num w:numId="16">
    <w:abstractNumId w:val="22"/>
  </w:num>
  <w:num w:numId="17">
    <w:abstractNumId w:val="8"/>
  </w:num>
  <w:num w:numId="18">
    <w:abstractNumId w:val="27"/>
  </w:num>
  <w:num w:numId="19">
    <w:abstractNumId w:val="30"/>
  </w:num>
  <w:num w:numId="20">
    <w:abstractNumId w:val="19"/>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7"/>
  </w:num>
  <w:num w:numId="24">
    <w:abstractNumId w:val="26"/>
  </w:num>
  <w:num w:numId="25">
    <w:abstractNumId w:val="6"/>
  </w:num>
  <w:num w:numId="26">
    <w:abstractNumId w:val="28"/>
  </w:num>
  <w:num w:numId="27">
    <w:abstractNumId w:val="4"/>
  </w:num>
  <w:num w:numId="28">
    <w:abstractNumId w:val="9"/>
  </w:num>
  <w:num w:numId="29">
    <w:abstractNumId w:val="3"/>
  </w:num>
  <w:num w:numId="30">
    <w:abstractNumId w:val="24"/>
  </w:num>
  <w:num w:numId="31">
    <w:abstractNumId w:val="17"/>
  </w:num>
  <w:num w:numId="32">
    <w:abstractNumId w:val="11"/>
  </w:num>
  <w:num w:numId="33">
    <w:abstractNumId w:val="25"/>
  </w:num>
  <w:num w:numId="34">
    <w:abstractNumId w:val="21"/>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hideGrammatical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1350D"/>
    <w:rsid w:val="0000241C"/>
    <w:rsid w:val="00004D08"/>
    <w:rsid w:val="00014863"/>
    <w:rsid w:val="00015091"/>
    <w:rsid w:val="000166DA"/>
    <w:rsid w:val="00016B65"/>
    <w:rsid w:val="0002195A"/>
    <w:rsid w:val="00021BF1"/>
    <w:rsid w:val="00022D43"/>
    <w:rsid w:val="0002441A"/>
    <w:rsid w:val="00030FB6"/>
    <w:rsid w:val="00032E54"/>
    <w:rsid w:val="00035511"/>
    <w:rsid w:val="0004048C"/>
    <w:rsid w:val="00040C16"/>
    <w:rsid w:val="000434DC"/>
    <w:rsid w:val="00044B9A"/>
    <w:rsid w:val="000475C3"/>
    <w:rsid w:val="00051ECF"/>
    <w:rsid w:val="0006558D"/>
    <w:rsid w:val="000712E1"/>
    <w:rsid w:val="0007641A"/>
    <w:rsid w:val="0007652E"/>
    <w:rsid w:val="00077FA2"/>
    <w:rsid w:val="00081D90"/>
    <w:rsid w:val="000879C9"/>
    <w:rsid w:val="00090164"/>
    <w:rsid w:val="00094B73"/>
    <w:rsid w:val="000965C0"/>
    <w:rsid w:val="000973D4"/>
    <w:rsid w:val="00097A6B"/>
    <w:rsid w:val="000A0D12"/>
    <w:rsid w:val="000A29B2"/>
    <w:rsid w:val="000A38CF"/>
    <w:rsid w:val="000A7CEA"/>
    <w:rsid w:val="000B1C11"/>
    <w:rsid w:val="000B6D84"/>
    <w:rsid w:val="000B725B"/>
    <w:rsid w:val="000B7BBC"/>
    <w:rsid w:val="000C2B8D"/>
    <w:rsid w:val="000C3779"/>
    <w:rsid w:val="000C4912"/>
    <w:rsid w:val="000D5884"/>
    <w:rsid w:val="000E1DF4"/>
    <w:rsid w:val="000E2F18"/>
    <w:rsid w:val="000E49C4"/>
    <w:rsid w:val="000E4F6D"/>
    <w:rsid w:val="000E768B"/>
    <w:rsid w:val="000F192C"/>
    <w:rsid w:val="000F201F"/>
    <w:rsid w:val="000F7808"/>
    <w:rsid w:val="00113AB0"/>
    <w:rsid w:val="00113B7C"/>
    <w:rsid w:val="00120562"/>
    <w:rsid w:val="001224DE"/>
    <w:rsid w:val="00123921"/>
    <w:rsid w:val="001245DC"/>
    <w:rsid w:val="00125B47"/>
    <w:rsid w:val="00133B16"/>
    <w:rsid w:val="00135F17"/>
    <w:rsid w:val="00136251"/>
    <w:rsid w:val="00136372"/>
    <w:rsid w:val="00136781"/>
    <w:rsid w:val="00136DB5"/>
    <w:rsid w:val="00137496"/>
    <w:rsid w:val="00137881"/>
    <w:rsid w:val="001413B4"/>
    <w:rsid w:val="001413D9"/>
    <w:rsid w:val="00143779"/>
    <w:rsid w:val="001447D2"/>
    <w:rsid w:val="00151CCC"/>
    <w:rsid w:val="00156751"/>
    <w:rsid w:val="00156D71"/>
    <w:rsid w:val="00165325"/>
    <w:rsid w:val="00165E9E"/>
    <w:rsid w:val="00171DBA"/>
    <w:rsid w:val="00173F0C"/>
    <w:rsid w:val="00176560"/>
    <w:rsid w:val="001817A8"/>
    <w:rsid w:val="00186C6E"/>
    <w:rsid w:val="0018788A"/>
    <w:rsid w:val="0019282D"/>
    <w:rsid w:val="00193BD5"/>
    <w:rsid w:val="00195F80"/>
    <w:rsid w:val="001A1E5A"/>
    <w:rsid w:val="001B6DED"/>
    <w:rsid w:val="001B7C91"/>
    <w:rsid w:val="001C1A12"/>
    <w:rsid w:val="001C3537"/>
    <w:rsid w:val="001C57CB"/>
    <w:rsid w:val="001C57CD"/>
    <w:rsid w:val="001C6CA0"/>
    <w:rsid w:val="001C7217"/>
    <w:rsid w:val="001D1536"/>
    <w:rsid w:val="001D2344"/>
    <w:rsid w:val="001D2C81"/>
    <w:rsid w:val="001D4A83"/>
    <w:rsid w:val="001D6BF6"/>
    <w:rsid w:val="001E40A3"/>
    <w:rsid w:val="001E538C"/>
    <w:rsid w:val="001F4AE6"/>
    <w:rsid w:val="001F7770"/>
    <w:rsid w:val="00205C87"/>
    <w:rsid w:val="00206B18"/>
    <w:rsid w:val="00207B4A"/>
    <w:rsid w:val="002139AD"/>
    <w:rsid w:val="00214F4B"/>
    <w:rsid w:val="002150E0"/>
    <w:rsid w:val="00221939"/>
    <w:rsid w:val="00222714"/>
    <w:rsid w:val="002246F0"/>
    <w:rsid w:val="00224B55"/>
    <w:rsid w:val="00231792"/>
    <w:rsid w:val="00231AE7"/>
    <w:rsid w:val="002337CF"/>
    <w:rsid w:val="0023394A"/>
    <w:rsid w:val="002346C7"/>
    <w:rsid w:val="00236078"/>
    <w:rsid w:val="0023755E"/>
    <w:rsid w:val="00240DD8"/>
    <w:rsid w:val="00242F47"/>
    <w:rsid w:val="00244012"/>
    <w:rsid w:val="00244160"/>
    <w:rsid w:val="00244FF3"/>
    <w:rsid w:val="00250747"/>
    <w:rsid w:val="00251731"/>
    <w:rsid w:val="00251BA5"/>
    <w:rsid w:val="00254316"/>
    <w:rsid w:val="002560CA"/>
    <w:rsid w:val="00257171"/>
    <w:rsid w:val="00260DB1"/>
    <w:rsid w:val="00261E38"/>
    <w:rsid w:val="002654CC"/>
    <w:rsid w:val="0026617B"/>
    <w:rsid w:val="00267147"/>
    <w:rsid w:val="002671B4"/>
    <w:rsid w:val="00272165"/>
    <w:rsid w:val="002744F4"/>
    <w:rsid w:val="00275121"/>
    <w:rsid w:val="00276BA3"/>
    <w:rsid w:val="00282ECE"/>
    <w:rsid w:val="00285C41"/>
    <w:rsid w:val="00292C26"/>
    <w:rsid w:val="002959D4"/>
    <w:rsid w:val="002B0734"/>
    <w:rsid w:val="002C22B9"/>
    <w:rsid w:val="002C2E76"/>
    <w:rsid w:val="002C3A08"/>
    <w:rsid w:val="002C5BA1"/>
    <w:rsid w:val="002C5F6F"/>
    <w:rsid w:val="002E0046"/>
    <w:rsid w:val="002E03CC"/>
    <w:rsid w:val="002E0F6C"/>
    <w:rsid w:val="002E3A68"/>
    <w:rsid w:val="002E50FD"/>
    <w:rsid w:val="002E7165"/>
    <w:rsid w:val="002E798D"/>
    <w:rsid w:val="002F1E5D"/>
    <w:rsid w:val="002F2816"/>
    <w:rsid w:val="002F76F4"/>
    <w:rsid w:val="00303A23"/>
    <w:rsid w:val="00304CB6"/>
    <w:rsid w:val="003075F4"/>
    <w:rsid w:val="0031288C"/>
    <w:rsid w:val="00313707"/>
    <w:rsid w:val="00314E13"/>
    <w:rsid w:val="00315182"/>
    <w:rsid w:val="00316226"/>
    <w:rsid w:val="0032061A"/>
    <w:rsid w:val="0032374F"/>
    <w:rsid w:val="003262F7"/>
    <w:rsid w:val="00327185"/>
    <w:rsid w:val="003372C9"/>
    <w:rsid w:val="00337BBD"/>
    <w:rsid w:val="003403DA"/>
    <w:rsid w:val="0034094D"/>
    <w:rsid w:val="0034151C"/>
    <w:rsid w:val="003422E7"/>
    <w:rsid w:val="003448AF"/>
    <w:rsid w:val="0034573C"/>
    <w:rsid w:val="00347EC0"/>
    <w:rsid w:val="003511CC"/>
    <w:rsid w:val="00351592"/>
    <w:rsid w:val="00351F15"/>
    <w:rsid w:val="00352657"/>
    <w:rsid w:val="00354581"/>
    <w:rsid w:val="003573D1"/>
    <w:rsid w:val="003625F5"/>
    <w:rsid w:val="003631C2"/>
    <w:rsid w:val="0036466B"/>
    <w:rsid w:val="003651BD"/>
    <w:rsid w:val="00371728"/>
    <w:rsid w:val="00371BED"/>
    <w:rsid w:val="00374CF1"/>
    <w:rsid w:val="00377EA5"/>
    <w:rsid w:val="00377F69"/>
    <w:rsid w:val="00381742"/>
    <w:rsid w:val="00382317"/>
    <w:rsid w:val="00383A36"/>
    <w:rsid w:val="003854A4"/>
    <w:rsid w:val="00391A9D"/>
    <w:rsid w:val="00393820"/>
    <w:rsid w:val="003A10CF"/>
    <w:rsid w:val="003A1318"/>
    <w:rsid w:val="003A1D38"/>
    <w:rsid w:val="003A1DC9"/>
    <w:rsid w:val="003A5D76"/>
    <w:rsid w:val="003B2B19"/>
    <w:rsid w:val="003C02C1"/>
    <w:rsid w:val="003C261C"/>
    <w:rsid w:val="003C3116"/>
    <w:rsid w:val="003C3194"/>
    <w:rsid w:val="003C5D70"/>
    <w:rsid w:val="003C70B0"/>
    <w:rsid w:val="003C74C7"/>
    <w:rsid w:val="003D16B8"/>
    <w:rsid w:val="003D508B"/>
    <w:rsid w:val="003D6D0E"/>
    <w:rsid w:val="003E145C"/>
    <w:rsid w:val="003E180F"/>
    <w:rsid w:val="003E2643"/>
    <w:rsid w:val="003E5A43"/>
    <w:rsid w:val="003F0393"/>
    <w:rsid w:val="003F21A1"/>
    <w:rsid w:val="003F3E80"/>
    <w:rsid w:val="003F6F95"/>
    <w:rsid w:val="00400300"/>
    <w:rsid w:val="00400D16"/>
    <w:rsid w:val="00404616"/>
    <w:rsid w:val="004061E4"/>
    <w:rsid w:val="0040698D"/>
    <w:rsid w:val="0041377B"/>
    <w:rsid w:val="00413ABA"/>
    <w:rsid w:val="00414B3A"/>
    <w:rsid w:val="00415425"/>
    <w:rsid w:val="00421405"/>
    <w:rsid w:val="0042261E"/>
    <w:rsid w:val="00422D59"/>
    <w:rsid w:val="00426284"/>
    <w:rsid w:val="00426E8D"/>
    <w:rsid w:val="0043128C"/>
    <w:rsid w:val="004371A3"/>
    <w:rsid w:val="00441DF2"/>
    <w:rsid w:val="00443A95"/>
    <w:rsid w:val="00446456"/>
    <w:rsid w:val="00453666"/>
    <w:rsid w:val="00461E51"/>
    <w:rsid w:val="00463445"/>
    <w:rsid w:val="00466FA2"/>
    <w:rsid w:val="00470354"/>
    <w:rsid w:val="004706AB"/>
    <w:rsid w:val="00471F09"/>
    <w:rsid w:val="00473E88"/>
    <w:rsid w:val="00480887"/>
    <w:rsid w:val="00480F06"/>
    <w:rsid w:val="004827CB"/>
    <w:rsid w:val="00485859"/>
    <w:rsid w:val="004900BC"/>
    <w:rsid w:val="00495256"/>
    <w:rsid w:val="00495760"/>
    <w:rsid w:val="004A248C"/>
    <w:rsid w:val="004A4C7D"/>
    <w:rsid w:val="004A68D3"/>
    <w:rsid w:val="004A7B36"/>
    <w:rsid w:val="004B0665"/>
    <w:rsid w:val="004B40C8"/>
    <w:rsid w:val="004B4D21"/>
    <w:rsid w:val="004B5733"/>
    <w:rsid w:val="004B63C8"/>
    <w:rsid w:val="004C0684"/>
    <w:rsid w:val="004C1064"/>
    <w:rsid w:val="004C730A"/>
    <w:rsid w:val="004D0722"/>
    <w:rsid w:val="004D37D9"/>
    <w:rsid w:val="004E1305"/>
    <w:rsid w:val="004E2BF1"/>
    <w:rsid w:val="004E2CE4"/>
    <w:rsid w:val="004E75F2"/>
    <w:rsid w:val="004F30CA"/>
    <w:rsid w:val="004F4E12"/>
    <w:rsid w:val="004F5459"/>
    <w:rsid w:val="004F587B"/>
    <w:rsid w:val="004F6025"/>
    <w:rsid w:val="005028C5"/>
    <w:rsid w:val="005059BD"/>
    <w:rsid w:val="00506051"/>
    <w:rsid w:val="00506052"/>
    <w:rsid w:val="005072BB"/>
    <w:rsid w:val="00511B5C"/>
    <w:rsid w:val="0051378A"/>
    <w:rsid w:val="00516E2E"/>
    <w:rsid w:val="0052377C"/>
    <w:rsid w:val="00523DB8"/>
    <w:rsid w:val="00525B70"/>
    <w:rsid w:val="00526DEB"/>
    <w:rsid w:val="0052712A"/>
    <w:rsid w:val="00531253"/>
    <w:rsid w:val="005407F1"/>
    <w:rsid w:val="00543466"/>
    <w:rsid w:val="0054658C"/>
    <w:rsid w:val="005505D4"/>
    <w:rsid w:val="00550E2F"/>
    <w:rsid w:val="00553D7E"/>
    <w:rsid w:val="00553E5C"/>
    <w:rsid w:val="00557877"/>
    <w:rsid w:val="00570F52"/>
    <w:rsid w:val="005748C2"/>
    <w:rsid w:val="0057609C"/>
    <w:rsid w:val="0057749D"/>
    <w:rsid w:val="00585D62"/>
    <w:rsid w:val="00597F5F"/>
    <w:rsid w:val="005A2F8C"/>
    <w:rsid w:val="005A7091"/>
    <w:rsid w:val="005A7E92"/>
    <w:rsid w:val="005B0445"/>
    <w:rsid w:val="005B0FEA"/>
    <w:rsid w:val="005B65A4"/>
    <w:rsid w:val="005B6C95"/>
    <w:rsid w:val="005C19DC"/>
    <w:rsid w:val="005C2C06"/>
    <w:rsid w:val="005C4B6E"/>
    <w:rsid w:val="005D090D"/>
    <w:rsid w:val="005D3C7F"/>
    <w:rsid w:val="005D3F4A"/>
    <w:rsid w:val="005D480B"/>
    <w:rsid w:val="005D6861"/>
    <w:rsid w:val="005E0449"/>
    <w:rsid w:val="005E0837"/>
    <w:rsid w:val="005E0CF1"/>
    <w:rsid w:val="005E169D"/>
    <w:rsid w:val="005E1A70"/>
    <w:rsid w:val="005E1E1E"/>
    <w:rsid w:val="005E3BC3"/>
    <w:rsid w:val="005E5487"/>
    <w:rsid w:val="005E5DEA"/>
    <w:rsid w:val="005F0A24"/>
    <w:rsid w:val="005F39C2"/>
    <w:rsid w:val="005F3CEE"/>
    <w:rsid w:val="005F51CC"/>
    <w:rsid w:val="00604BDB"/>
    <w:rsid w:val="006066C4"/>
    <w:rsid w:val="006120DE"/>
    <w:rsid w:val="006139AE"/>
    <w:rsid w:val="00620CC9"/>
    <w:rsid w:val="00621A5B"/>
    <w:rsid w:val="00621DBF"/>
    <w:rsid w:val="00625DE2"/>
    <w:rsid w:val="006274CE"/>
    <w:rsid w:val="00631DA9"/>
    <w:rsid w:val="006323F3"/>
    <w:rsid w:val="00633FB5"/>
    <w:rsid w:val="006417A0"/>
    <w:rsid w:val="006419A9"/>
    <w:rsid w:val="00644FF6"/>
    <w:rsid w:val="00647375"/>
    <w:rsid w:val="00650636"/>
    <w:rsid w:val="00651084"/>
    <w:rsid w:val="006535DF"/>
    <w:rsid w:val="0065430F"/>
    <w:rsid w:val="00655AC8"/>
    <w:rsid w:val="00656CBA"/>
    <w:rsid w:val="00656FB5"/>
    <w:rsid w:val="00660538"/>
    <w:rsid w:val="00666097"/>
    <w:rsid w:val="00672FE9"/>
    <w:rsid w:val="00673D01"/>
    <w:rsid w:val="00675BB6"/>
    <w:rsid w:val="00676C95"/>
    <w:rsid w:val="00695899"/>
    <w:rsid w:val="00695F4A"/>
    <w:rsid w:val="00696854"/>
    <w:rsid w:val="006A2951"/>
    <w:rsid w:val="006A5397"/>
    <w:rsid w:val="006B468F"/>
    <w:rsid w:val="006B4E3D"/>
    <w:rsid w:val="006B5275"/>
    <w:rsid w:val="006B72E4"/>
    <w:rsid w:val="006B734D"/>
    <w:rsid w:val="006C038B"/>
    <w:rsid w:val="006C2381"/>
    <w:rsid w:val="006C6A69"/>
    <w:rsid w:val="006C7852"/>
    <w:rsid w:val="006D04D9"/>
    <w:rsid w:val="006D0A5D"/>
    <w:rsid w:val="006D1AAB"/>
    <w:rsid w:val="006D4349"/>
    <w:rsid w:val="006D7EE2"/>
    <w:rsid w:val="006E0D75"/>
    <w:rsid w:val="006E19F5"/>
    <w:rsid w:val="006E2ED3"/>
    <w:rsid w:val="006F0142"/>
    <w:rsid w:val="006F696E"/>
    <w:rsid w:val="007005A8"/>
    <w:rsid w:val="00702C1F"/>
    <w:rsid w:val="00703FE5"/>
    <w:rsid w:val="00704308"/>
    <w:rsid w:val="00704EBC"/>
    <w:rsid w:val="0070505C"/>
    <w:rsid w:val="00705CFB"/>
    <w:rsid w:val="00710E40"/>
    <w:rsid w:val="00712334"/>
    <w:rsid w:val="00714BA3"/>
    <w:rsid w:val="00716B4D"/>
    <w:rsid w:val="007246C3"/>
    <w:rsid w:val="00727305"/>
    <w:rsid w:val="00730964"/>
    <w:rsid w:val="00730C9D"/>
    <w:rsid w:val="007316C9"/>
    <w:rsid w:val="00731D39"/>
    <w:rsid w:val="0073283F"/>
    <w:rsid w:val="00737CDA"/>
    <w:rsid w:val="007448CF"/>
    <w:rsid w:val="00752047"/>
    <w:rsid w:val="00752C59"/>
    <w:rsid w:val="00754B36"/>
    <w:rsid w:val="00760830"/>
    <w:rsid w:val="00761585"/>
    <w:rsid w:val="00762F6C"/>
    <w:rsid w:val="007630D6"/>
    <w:rsid w:val="0077285E"/>
    <w:rsid w:val="007811D3"/>
    <w:rsid w:val="0078315B"/>
    <w:rsid w:val="00786306"/>
    <w:rsid w:val="00791791"/>
    <w:rsid w:val="00793D01"/>
    <w:rsid w:val="00793ED6"/>
    <w:rsid w:val="007A00A5"/>
    <w:rsid w:val="007A011F"/>
    <w:rsid w:val="007A3A98"/>
    <w:rsid w:val="007A4167"/>
    <w:rsid w:val="007A72F1"/>
    <w:rsid w:val="007A78DD"/>
    <w:rsid w:val="007B67D3"/>
    <w:rsid w:val="007B757D"/>
    <w:rsid w:val="007C1B4F"/>
    <w:rsid w:val="007C2990"/>
    <w:rsid w:val="007C3878"/>
    <w:rsid w:val="007C448B"/>
    <w:rsid w:val="007C4D47"/>
    <w:rsid w:val="007C6AB0"/>
    <w:rsid w:val="007C7F1B"/>
    <w:rsid w:val="007D042F"/>
    <w:rsid w:val="007D176A"/>
    <w:rsid w:val="007D1BEA"/>
    <w:rsid w:val="007D7FB9"/>
    <w:rsid w:val="007E08FF"/>
    <w:rsid w:val="007E0D4F"/>
    <w:rsid w:val="007E29CB"/>
    <w:rsid w:val="007E36E4"/>
    <w:rsid w:val="007F1BD0"/>
    <w:rsid w:val="007F25AA"/>
    <w:rsid w:val="007F7EC5"/>
    <w:rsid w:val="00800994"/>
    <w:rsid w:val="0080320E"/>
    <w:rsid w:val="00804142"/>
    <w:rsid w:val="008070CB"/>
    <w:rsid w:val="008072FD"/>
    <w:rsid w:val="00810F59"/>
    <w:rsid w:val="008128C7"/>
    <w:rsid w:val="00813BA2"/>
    <w:rsid w:val="0081510B"/>
    <w:rsid w:val="0081680B"/>
    <w:rsid w:val="00832C8E"/>
    <w:rsid w:val="008402AC"/>
    <w:rsid w:val="00847C58"/>
    <w:rsid w:val="00850B65"/>
    <w:rsid w:val="00850C9D"/>
    <w:rsid w:val="00860398"/>
    <w:rsid w:val="00864D72"/>
    <w:rsid w:val="00864F46"/>
    <w:rsid w:val="00867C61"/>
    <w:rsid w:val="00877EC2"/>
    <w:rsid w:val="00880DFF"/>
    <w:rsid w:val="0088380D"/>
    <w:rsid w:val="0088397F"/>
    <w:rsid w:val="00885409"/>
    <w:rsid w:val="0088598A"/>
    <w:rsid w:val="00891E68"/>
    <w:rsid w:val="0089341B"/>
    <w:rsid w:val="0089372D"/>
    <w:rsid w:val="00893844"/>
    <w:rsid w:val="008939A1"/>
    <w:rsid w:val="008A70B5"/>
    <w:rsid w:val="008A711A"/>
    <w:rsid w:val="008A7488"/>
    <w:rsid w:val="008B1CB2"/>
    <w:rsid w:val="008B22E8"/>
    <w:rsid w:val="008B291D"/>
    <w:rsid w:val="008B35EA"/>
    <w:rsid w:val="008B39E5"/>
    <w:rsid w:val="008B3E3A"/>
    <w:rsid w:val="008B4A94"/>
    <w:rsid w:val="008B58AD"/>
    <w:rsid w:val="008B6E28"/>
    <w:rsid w:val="008B7263"/>
    <w:rsid w:val="008C0D6F"/>
    <w:rsid w:val="008C3A95"/>
    <w:rsid w:val="008C6D1F"/>
    <w:rsid w:val="008D244E"/>
    <w:rsid w:val="008D5177"/>
    <w:rsid w:val="008D6154"/>
    <w:rsid w:val="008D74A9"/>
    <w:rsid w:val="008E1A69"/>
    <w:rsid w:val="008E2BF2"/>
    <w:rsid w:val="008E37B1"/>
    <w:rsid w:val="008E4752"/>
    <w:rsid w:val="008E5146"/>
    <w:rsid w:val="008E52EC"/>
    <w:rsid w:val="008E7429"/>
    <w:rsid w:val="008F2B57"/>
    <w:rsid w:val="008F333B"/>
    <w:rsid w:val="0090456C"/>
    <w:rsid w:val="00906854"/>
    <w:rsid w:val="00916E56"/>
    <w:rsid w:val="00917648"/>
    <w:rsid w:val="009176E2"/>
    <w:rsid w:val="009212D0"/>
    <w:rsid w:val="00921FF1"/>
    <w:rsid w:val="00923221"/>
    <w:rsid w:val="009233B2"/>
    <w:rsid w:val="00924A5F"/>
    <w:rsid w:val="009267F7"/>
    <w:rsid w:val="00926EC4"/>
    <w:rsid w:val="0092714D"/>
    <w:rsid w:val="00931A92"/>
    <w:rsid w:val="00932F89"/>
    <w:rsid w:val="00933E85"/>
    <w:rsid w:val="0093426F"/>
    <w:rsid w:val="009348A4"/>
    <w:rsid w:val="009362BB"/>
    <w:rsid w:val="009368EA"/>
    <w:rsid w:val="00940014"/>
    <w:rsid w:val="009442C9"/>
    <w:rsid w:val="00946A8E"/>
    <w:rsid w:val="0095306C"/>
    <w:rsid w:val="00953860"/>
    <w:rsid w:val="009544E9"/>
    <w:rsid w:val="0095791B"/>
    <w:rsid w:val="009620E9"/>
    <w:rsid w:val="009655FE"/>
    <w:rsid w:val="0096715C"/>
    <w:rsid w:val="009763A7"/>
    <w:rsid w:val="00983B5F"/>
    <w:rsid w:val="00983DDE"/>
    <w:rsid w:val="00984F8E"/>
    <w:rsid w:val="00985FD1"/>
    <w:rsid w:val="00992FFB"/>
    <w:rsid w:val="0099356D"/>
    <w:rsid w:val="009A0CA0"/>
    <w:rsid w:val="009A68B7"/>
    <w:rsid w:val="009B52F5"/>
    <w:rsid w:val="009C0333"/>
    <w:rsid w:val="009C15BC"/>
    <w:rsid w:val="009C615F"/>
    <w:rsid w:val="009D28D5"/>
    <w:rsid w:val="009D5154"/>
    <w:rsid w:val="009D7089"/>
    <w:rsid w:val="009D722B"/>
    <w:rsid w:val="009E294F"/>
    <w:rsid w:val="009E4031"/>
    <w:rsid w:val="009E4839"/>
    <w:rsid w:val="009E4DBB"/>
    <w:rsid w:val="009F3280"/>
    <w:rsid w:val="009F3973"/>
    <w:rsid w:val="009F51A6"/>
    <w:rsid w:val="00A01CFE"/>
    <w:rsid w:val="00A025CE"/>
    <w:rsid w:val="00A0330B"/>
    <w:rsid w:val="00A11AB5"/>
    <w:rsid w:val="00A121A0"/>
    <w:rsid w:val="00A1350D"/>
    <w:rsid w:val="00A140A4"/>
    <w:rsid w:val="00A179B3"/>
    <w:rsid w:val="00A239CD"/>
    <w:rsid w:val="00A264F1"/>
    <w:rsid w:val="00A302B0"/>
    <w:rsid w:val="00A31097"/>
    <w:rsid w:val="00A337AB"/>
    <w:rsid w:val="00A34B3F"/>
    <w:rsid w:val="00A36D6B"/>
    <w:rsid w:val="00A37A7D"/>
    <w:rsid w:val="00A44BAA"/>
    <w:rsid w:val="00A470D1"/>
    <w:rsid w:val="00A47DE3"/>
    <w:rsid w:val="00A51BD5"/>
    <w:rsid w:val="00A5214A"/>
    <w:rsid w:val="00A5226B"/>
    <w:rsid w:val="00A54EA2"/>
    <w:rsid w:val="00A55283"/>
    <w:rsid w:val="00A55325"/>
    <w:rsid w:val="00A57BA0"/>
    <w:rsid w:val="00A6029C"/>
    <w:rsid w:val="00A6457F"/>
    <w:rsid w:val="00A72AEC"/>
    <w:rsid w:val="00A73660"/>
    <w:rsid w:val="00A76B02"/>
    <w:rsid w:val="00A77C5E"/>
    <w:rsid w:val="00A804CB"/>
    <w:rsid w:val="00A818FC"/>
    <w:rsid w:val="00A825CC"/>
    <w:rsid w:val="00A8361D"/>
    <w:rsid w:val="00A83840"/>
    <w:rsid w:val="00A846F0"/>
    <w:rsid w:val="00A959BF"/>
    <w:rsid w:val="00A97F93"/>
    <w:rsid w:val="00AA07E8"/>
    <w:rsid w:val="00AA0D7B"/>
    <w:rsid w:val="00AA22C0"/>
    <w:rsid w:val="00AA34E7"/>
    <w:rsid w:val="00AA539E"/>
    <w:rsid w:val="00AA6307"/>
    <w:rsid w:val="00AA6DCD"/>
    <w:rsid w:val="00AB1B27"/>
    <w:rsid w:val="00AB327A"/>
    <w:rsid w:val="00AB36AB"/>
    <w:rsid w:val="00AB3DCA"/>
    <w:rsid w:val="00AB5051"/>
    <w:rsid w:val="00AC3A3F"/>
    <w:rsid w:val="00AC5404"/>
    <w:rsid w:val="00AC58F1"/>
    <w:rsid w:val="00AC6980"/>
    <w:rsid w:val="00AC7EA9"/>
    <w:rsid w:val="00AD0CB0"/>
    <w:rsid w:val="00AD0DAA"/>
    <w:rsid w:val="00AD1376"/>
    <w:rsid w:val="00AD4079"/>
    <w:rsid w:val="00AD6DCB"/>
    <w:rsid w:val="00AE133B"/>
    <w:rsid w:val="00AE13DC"/>
    <w:rsid w:val="00AE542B"/>
    <w:rsid w:val="00AF0457"/>
    <w:rsid w:val="00AF0C43"/>
    <w:rsid w:val="00AF1D30"/>
    <w:rsid w:val="00AF3827"/>
    <w:rsid w:val="00AF4514"/>
    <w:rsid w:val="00B01C3A"/>
    <w:rsid w:val="00B03771"/>
    <w:rsid w:val="00B0714B"/>
    <w:rsid w:val="00B1076C"/>
    <w:rsid w:val="00B14F8B"/>
    <w:rsid w:val="00B1705C"/>
    <w:rsid w:val="00B17694"/>
    <w:rsid w:val="00B21BC7"/>
    <w:rsid w:val="00B231BB"/>
    <w:rsid w:val="00B244BD"/>
    <w:rsid w:val="00B25051"/>
    <w:rsid w:val="00B31470"/>
    <w:rsid w:val="00B32CAB"/>
    <w:rsid w:val="00B35684"/>
    <w:rsid w:val="00B36D21"/>
    <w:rsid w:val="00B417E6"/>
    <w:rsid w:val="00B41CC4"/>
    <w:rsid w:val="00B445C4"/>
    <w:rsid w:val="00B47E61"/>
    <w:rsid w:val="00B50923"/>
    <w:rsid w:val="00B50E1D"/>
    <w:rsid w:val="00B57B76"/>
    <w:rsid w:val="00B60EFE"/>
    <w:rsid w:val="00B61EA1"/>
    <w:rsid w:val="00B715EB"/>
    <w:rsid w:val="00B7308B"/>
    <w:rsid w:val="00B7384C"/>
    <w:rsid w:val="00B748DE"/>
    <w:rsid w:val="00B76E4D"/>
    <w:rsid w:val="00B812CC"/>
    <w:rsid w:val="00B839DA"/>
    <w:rsid w:val="00B870BC"/>
    <w:rsid w:val="00B90C7A"/>
    <w:rsid w:val="00B94A22"/>
    <w:rsid w:val="00B9594D"/>
    <w:rsid w:val="00BA0E56"/>
    <w:rsid w:val="00BA2E3C"/>
    <w:rsid w:val="00BA590F"/>
    <w:rsid w:val="00BA6FAD"/>
    <w:rsid w:val="00BA7E52"/>
    <w:rsid w:val="00BB0FD7"/>
    <w:rsid w:val="00BB21C5"/>
    <w:rsid w:val="00BB265E"/>
    <w:rsid w:val="00BB65DE"/>
    <w:rsid w:val="00BC05A1"/>
    <w:rsid w:val="00BC2E10"/>
    <w:rsid w:val="00BC5088"/>
    <w:rsid w:val="00BC64BA"/>
    <w:rsid w:val="00BD0F0B"/>
    <w:rsid w:val="00BD273E"/>
    <w:rsid w:val="00BD7A36"/>
    <w:rsid w:val="00BE32FA"/>
    <w:rsid w:val="00BE341F"/>
    <w:rsid w:val="00BE42AB"/>
    <w:rsid w:val="00BF1523"/>
    <w:rsid w:val="00C0108C"/>
    <w:rsid w:val="00C03809"/>
    <w:rsid w:val="00C0561C"/>
    <w:rsid w:val="00C063FB"/>
    <w:rsid w:val="00C07C9C"/>
    <w:rsid w:val="00C10C41"/>
    <w:rsid w:val="00C11EA5"/>
    <w:rsid w:val="00C16EDA"/>
    <w:rsid w:val="00C1748B"/>
    <w:rsid w:val="00C17FE5"/>
    <w:rsid w:val="00C2028A"/>
    <w:rsid w:val="00C214FA"/>
    <w:rsid w:val="00C235EB"/>
    <w:rsid w:val="00C31C4C"/>
    <w:rsid w:val="00C327F7"/>
    <w:rsid w:val="00C365E8"/>
    <w:rsid w:val="00C417D3"/>
    <w:rsid w:val="00C46DC1"/>
    <w:rsid w:val="00C52C6C"/>
    <w:rsid w:val="00C553BC"/>
    <w:rsid w:val="00C57CEF"/>
    <w:rsid w:val="00C641BE"/>
    <w:rsid w:val="00C71274"/>
    <w:rsid w:val="00C72276"/>
    <w:rsid w:val="00C84D37"/>
    <w:rsid w:val="00C861FA"/>
    <w:rsid w:val="00C9376D"/>
    <w:rsid w:val="00C95971"/>
    <w:rsid w:val="00CA5226"/>
    <w:rsid w:val="00CA5CBE"/>
    <w:rsid w:val="00CB1455"/>
    <w:rsid w:val="00CB455A"/>
    <w:rsid w:val="00CB5E27"/>
    <w:rsid w:val="00CC2064"/>
    <w:rsid w:val="00CC3647"/>
    <w:rsid w:val="00CC48C5"/>
    <w:rsid w:val="00CC687D"/>
    <w:rsid w:val="00CD1AF7"/>
    <w:rsid w:val="00CD1FFE"/>
    <w:rsid w:val="00CD209E"/>
    <w:rsid w:val="00CD25A0"/>
    <w:rsid w:val="00CD384E"/>
    <w:rsid w:val="00CD41EC"/>
    <w:rsid w:val="00CD703B"/>
    <w:rsid w:val="00CE7D44"/>
    <w:rsid w:val="00CF1486"/>
    <w:rsid w:val="00CF550F"/>
    <w:rsid w:val="00CF5B58"/>
    <w:rsid w:val="00CF71C8"/>
    <w:rsid w:val="00CF7473"/>
    <w:rsid w:val="00D01F73"/>
    <w:rsid w:val="00D05072"/>
    <w:rsid w:val="00D10649"/>
    <w:rsid w:val="00D11AAA"/>
    <w:rsid w:val="00D207CF"/>
    <w:rsid w:val="00D31F2C"/>
    <w:rsid w:val="00D334D4"/>
    <w:rsid w:val="00D34294"/>
    <w:rsid w:val="00D46229"/>
    <w:rsid w:val="00D501AC"/>
    <w:rsid w:val="00D554D8"/>
    <w:rsid w:val="00D56E88"/>
    <w:rsid w:val="00D63118"/>
    <w:rsid w:val="00D65E6A"/>
    <w:rsid w:val="00D66BFB"/>
    <w:rsid w:val="00D66F42"/>
    <w:rsid w:val="00D67C37"/>
    <w:rsid w:val="00D74714"/>
    <w:rsid w:val="00D74971"/>
    <w:rsid w:val="00D74A60"/>
    <w:rsid w:val="00D751BE"/>
    <w:rsid w:val="00D82650"/>
    <w:rsid w:val="00D84E99"/>
    <w:rsid w:val="00D85BB8"/>
    <w:rsid w:val="00D9431D"/>
    <w:rsid w:val="00DA2A46"/>
    <w:rsid w:val="00DA6F17"/>
    <w:rsid w:val="00DA7903"/>
    <w:rsid w:val="00DB1514"/>
    <w:rsid w:val="00DB4169"/>
    <w:rsid w:val="00DC4114"/>
    <w:rsid w:val="00DC6CD8"/>
    <w:rsid w:val="00DC783B"/>
    <w:rsid w:val="00DD55C0"/>
    <w:rsid w:val="00DE03F5"/>
    <w:rsid w:val="00DE23F3"/>
    <w:rsid w:val="00DE41F2"/>
    <w:rsid w:val="00DF4D3C"/>
    <w:rsid w:val="00DF4E21"/>
    <w:rsid w:val="00DF52DC"/>
    <w:rsid w:val="00DF6C35"/>
    <w:rsid w:val="00E004EC"/>
    <w:rsid w:val="00E023B3"/>
    <w:rsid w:val="00E027DE"/>
    <w:rsid w:val="00E04FE6"/>
    <w:rsid w:val="00E0578E"/>
    <w:rsid w:val="00E127F4"/>
    <w:rsid w:val="00E14AE9"/>
    <w:rsid w:val="00E16AD2"/>
    <w:rsid w:val="00E20627"/>
    <w:rsid w:val="00E21318"/>
    <w:rsid w:val="00E21A66"/>
    <w:rsid w:val="00E22479"/>
    <w:rsid w:val="00E2267D"/>
    <w:rsid w:val="00E24041"/>
    <w:rsid w:val="00E316AD"/>
    <w:rsid w:val="00E34637"/>
    <w:rsid w:val="00E35A7E"/>
    <w:rsid w:val="00E35E20"/>
    <w:rsid w:val="00E41028"/>
    <w:rsid w:val="00E41AE6"/>
    <w:rsid w:val="00E45704"/>
    <w:rsid w:val="00E4635F"/>
    <w:rsid w:val="00E47019"/>
    <w:rsid w:val="00E47935"/>
    <w:rsid w:val="00E50BC6"/>
    <w:rsid w:val="00E50DF3"/>
    <w:rsid w:val="00E55FF4"/>
    <w:rsid w:val="00E62B7F"/>
    <w:rsid w:val="00E63A8F"/>
    <w:rsid w:val="00E65559"/>
    <w:rsid w:val="00E665B0"/>
    <w:rsid w:val="00E67435"/>
    <w:rsid w:val="00E72C3F"/>
    <w:rsid w:val="00E72F78"/>
    <w:rsid w:val="00E848EC"/>
    <w:rsid w:val="00E87C99"/>
    <w:rsid w:val="00E931C4"/>
    <w:rsid w:val="00E966F3"/>
    <w:rsid w:val="00E96E4D"/>
    <w:rsid w:val="00E96F72"/>
    <w:rsid w:val="00E97278"/>
    <w:rsid w:val="00EA0BF5"/>
    <w:rsid w:val="00EB0854"/>
    <w:rsid w:val="00EB45E6"/>
    <w:rsid w:val="00EB5850"/>
    <w:rsid w:val="00ED2D75"/>
    <w:rsid w:val="00ED368F"/>
    <w:rsid w:val="00ED65E0"/>
    <w:rsid w:val="00EE0093"/>
    <w:rsid w:val="00EE1037"/>
    <w:rsid w:val="00EE2A8D"/>
    <w:rsid w:val="00EE51B5"/>
    <w:rsid w:val="00EE6BB1"/>
    <w:rsid w:val="00EE70D6"/>
    <w:rsid w:val="00EF0259"/>
    <w:rsid w:val="00EF040F"/>
    <w:rsid w:val="00EF05B9"/>
    <w:rsid w:val="00EF5A85"/>
    <w:rsid w:val="00EF7DBA"/>
    <w:rsid w:val="00F0075E"/>
    <w:rsid w:val="00F0112D"/>
    <w:rsid w:val="00F06FA4"/>
    <w:rsid w:val="00F11541"/>
    <w:rsid w:val="00F11F97"/>
    <w:rsid w:val="00F132D2"/>
    <w:rsid w:val="00F1451B"/>
    <w:rsid w:val="00F15E5F"/>
    <w:rsid w:val="00F20A15"/>
    <w:rsid w:val="00F26EE9"/>
    <w:rsid w:val="00F27CD7"/>
    <w:rsid w:val="00F3567F"/>
    <w:rsid w:val="00F360C9"/>
    <w:rsid w:val="00F37913"/>
    <w:rsid w:val="00F42D21"/>
    <w:rsid w:val="00F434B5"/>
    <w:rsid w:val="00F43578"/>
    <w:rsid w:val="00F46A60"/>
    <w:rsid w:val="00F53F52"/>
    <w:rsid w:val="00F6278D"/>
    <w:rsid w:val="00F62F23"/>
    <w:rsid w:val="00F70DFD"/>
    <w:rsid w:val="00F870C6"/>
    <w:rsid w:val="00F902DD"/>
    <w:rsid w:val="00F96054"/>
    <w:rsid w:val="00FA6708"/>
    <w:rsid w:val="00FB40B6"/>
    <w:rsid w:val="00FB4152"/>
    <w:rsid w:val="00FC1034"/>
    <w:rsid w:val="00FC2087"/>
    <w:rsid w:val="00FC25F1"/>
    <w:rsid w:val="00FC3D96"/>
    <w:rsid w:val="00FC44A3"/>
    <w:rsid w:val="00FC69A8"/>
    <w:rsid w:val="00FC73EE"/>
    <w:rsid w:val="00FC7909"/>
    <w:rsid w:val="00FC7F91"/>
    <w:rsid w:val="00FD45E8"/>
    <w:rsid w:val="00FE3E2E"/>
    <w:rsid w:val="00FE50B2"/>
    <w:rsid w:val="00FE5D78"/>
    <w:rsid w:val="00FF40CF"/>
    <w:rsid w:val="00FF52AC"/>
    <w:rsid w:val="00FF7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50D"/>
    <w:rPr>
      <w:sz w:val="24"/>
      <w:szCs w:val="24"/>
    </w:rPr>
  </w:style>
  <w:style w:type="paragraph" w:styleId="Heading1">
    <w:name w:val="heading 1"/>
    <w:basedOn w:val="Normal"/>
    <w:next w:val="Normal"/>
    <w:link w:val="Heading1Char"/>
    <w:qFormat/>
    <w:rsid w:val="00A1350D"/>
    <w:pPr>
      <w:keepNext/>
      <w:jc w:val="center"/>
      <w:outlineLvl w:val="0"/>
    </w:pPr>
    <w:rPr>
      <w:rFonts w:ascii=".VnTimeH" w:hAnsi=".VnTimeH"/>
      <w:b/>
      <w:szCs w:val="25"/>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13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locked/>
    <w:rsid w:val="00CF5B58"/>
    <w:rPr>
      <w:rFonts w:ascii=".VnTimeH" w:hAnsi=".VnTimeH"/>
      <w:b/>
      <w:sz w:val="24"/>
      <w:szCs w:val="25"/>
    </w:rPr>
  </w:style>
  <w:style w:type="character" w:styleId="Hyperlink">
    <w:name w:val="Hyperlink"/>
    <w:rsid w:val="0054658C"/>
    <w:rPr>
      <w:color w:val="0000FF"/>
      <w:u w:val="single"/>
    </w:rPr>
  </w:style>
  <w:style w:type="paragraph" w:styleId="NormalWeb">
    <w:name w:val="Normal (Web)"/>
    <w:basedOn w:val="Normal"/>
    <w:rsid w:val="00B01C3A"/>
    <w:pPr>
      <w:spacing w:before="100" w:beforeAutospacing="1" w:after="100" w:afterAutospacing="1"/>
    </w:pPr>
  </w:style>
  <w:style w:type="paragraph" w:styleId="ListParagraph">
    <w:name w:val="List Paragraph"/>
    <w:basedOn w:val="Normal"/>
    <w:uiPriority w:val="34"/>
    <w:qFormat/>
    <w:rsid w:val="00B01C3A"/>
    <w:pPr>
      <w:ind w:left="720"/>
      <w:contextualSpacing/>
    </w:pPr>
  </w:style>
  <w:style w:type="paragraph" w:styleId="BodyText">
    <w:name w:val="Body Text"/>
    <w:basedOn w:val="Normal"/>
    <w:link w:val="BodyTextChar"/>
    <w:rsid w:val="00B01C3A"/>
    <w:pPr>
      <w:keepNext/>
      <w:spacing w:before="120"/>
      <w:ind w:firstLine="720"/>
      <w:jc w:val="both"/>
    </w:pPr>
    <w:rPr>
      <w:rFonts w:eastAsia="Batang"/>
      <w:sz w:val="28"/>
      <w:szCs w:val="20"/>
    </w:rPr>
  </w:style>
  <w:style w:type="character" w:customStyle="1" w:styleId="BodyTextChar">
    <w:name w:val="Body Text Char"/>
    <w:link w:val="BodyText"/>
    <w:rsid w:val="00B01C3A"/>
    <w:rPr>
      <w:rFonts w:eastAsia="Batang"/>
      <w:sz w:val="28"/>
      <w:lang w:val="en-US" w:eastAsia="en-US" w:bidi="ar-SA"/>
    </w:rPr>
  </w:style>
  <w:style w:type="character" w:styleId="CommentReference">
    <w:name w:val="annotation reference"/>
    <w:rsid w:val="00051ECF"/>
    <w:rPr>
      <w:sz w:val="16"/>
      <w:szCs w:val="16"/>
    </w:rPr>
  </w:style>
  <w:style w:type="paragraph" w:styleId="CommentText">
    <w:name w:val="annotation text"/>
    <w:basedOn w:val="Normal"/>
    <w:link w:val="CommentTextChar"/>
    <w:rsid w:val="00051ECF"/>
    <w:rPr>
      <w:sz w:val="20"/>
      <w:szCs w:val="20"/>
    </w:rPr>
  </w:style>
  <w:style w:type="character" w:customStyle="1" w:styleId="CommentTextChar">
    <w:name w:val="Comment Text Char"/>
    <w:basedOn w:val="DefaultParagraphFont"/>
    <w:link w:val="CommentText"/>
    <w:rsid w:val="00051ECF"/>
  </w:style>
  <w:style w:type="paragraph" w:styleId="BalloonText">
    <w:name w:val="Balloon Text"/>
    <w:basedOn w:val="Normal"/>
    <w:link w:val="BalloonTextChar"/>
    <w:rsid w:val="00051ECF"/>
    <w:rPr>
      <w:rFonts w:ascii="Tahoma" w:hAnsi="Tahoma"/>
      <w:sz w:val="16"/>
      <w:szCs w:val="16"/>
      <w:lang/>
    </w:rPr>
  </w:style>
  <w:style w:type="character" w:customStyle="1" w:styleId="BalloonTextChar">
    <w:name w:val="Balloon Text Char"/>
    <w:link w:val="BalloonText"/>
    <w:rsid w:val="00051ECF"/>
    <w:rPr>
      <w:rFonts w:ascii="Tahoma" w:hAnsi="Tahoma" w:cs="Tahoma"/>
      <w:sz w:val="16"/>
      <w:szCs w:val="16"/>
    </w:rPr>
  </w:style>
  <w:style w:type="paragraph" w:styleId="Header">
    <w:name w:val="header"/>
    <w:basedOn w:val="Normal"/>
    <w:link w:val="HeaderChar"/>
    <w:rsid w:val="00371728"/>
    <w:pPr>
      <w:tabs>
        <w:tab w:val="center" w:pos="4680"/>
        <w:tab w:val="right" w:pos="9360"/>
      </w:tabs>
    </w:pPr>
    <w:rPr>
      <w:lang/>
    </w:rPr>
  </w:style>
  <w:style w:type="character" w:customStyle="1" w:styleId="HeaderChar">
    <w:name w:val="Header Char"/>
    <w:link w:val="Header"/>
    <w:rsid w:val="00371728"/>
    <w:rPr>
      <w:sz w:val="24"/>
      <w:szCs w:val="24"/>
    </w:rPr>
  </w:style>
  <w:style w:type="paragraph" w:styleId="Footer">
    <w:name w:val="footer"/>
    <w:basedOn w:val="Normal"/>
    <w:link w:val="FooterChar"/>
    <w:uiPriority w:val="99"/>
    <w:rsid w:val="00371728"/>
    <w:pPr>
      <w:tabs>
        <w:tab w:val="center" w:pos="4680"/>
        <w:tab w:val="right" w:pos="9360"/>
      </w:tabs>
    </w:pPr>
    <w:rPr>
      <w:lang/>
    </w:rPr>
  </w:style>
  <w:style w:type="character" w:customStyle="1" w:styleId="FooterChar">
    <w:name w:val="Footer Char"/>
    <w:link w:val="Footer"/>
    <w:uiPriority w:val="99"/>
    <w:rsid w:val="00371728"/>
    <w:rPr>
      <w:sz w:val="24"/>
      <w:szCs w:val="24"/>
    </w:rPr>
  </w:style>
  <w:style w:type="paragraph" w:styleId="CommentSubject">
    <w:name w:val="annotation subject"/>
    <w:basedOn w:val="CommentText"/>
    <w:next w:val="CommentText"/>
    <w:link w:val="CommentSubjectChar"/>
    <w:rsid w:val="00710E40"/>
    <w:rPr>
      <w:b/>
      <w:bCs/>
      <w:lang/>
    </w:rPr>
  </w:style>
  <w:style w:type="character" w:customStyle="1" w:styleId="CommentSubjectChar">
    <w:name w:val="Comment Subject Char"/>
    <w:link w:val="CommentSubject"/>
    <w:rsid w:val="00710E40"/>
    <w:rPr>
      <w:b/>
      <w:bCs/>
    </w:rPr>
  </w:style>
  <w:style w:type="paragraph" w:customStyle="1" w:styleId="StyleBodyTextIndentFirstline127cmAfter0pt">
    <w:name w:val="Style Body Text Indent + First line:  127 cm After:  0 pt"/>
    <w:basedOn w:val="BodyTextIndent"/>
    <w:rsid w:val="00A76B02"/>
    <w:pPr>
      <w:spacing w:before="120" w:after="0" w:line="312" w:lineRule="auto"/>
      <w:ind w:left="0" w:firstLine="720"/>
      <w:jc w:val="both"/>
    </w:pPr>
    <w:rPr>
      <w:sz w:val="28"/>
      <w:szCs w:val="28"/>
    </w:rPr>
  </w:style>
  <w:style w:type="paragraph" w:styleId="BodyTextIndent">
    <w:name w:val="Body Text Indent"/>
    <w:basedOn w:val="Normal"/>
    <w:link w:val="BodyTextIndentChar"/>
    <w:rsid w:val="00A76B02"/>
    <w:pPr>
      <w:spacing w:after="120"/>
      <w:ind w:left="360"/>
    </w:pPr>
    <w:rPr>
      <w:lang/>
    </w:rPr>
  </w:style>
  <w:style w:type="character" w:customStyle="1" w:styleId="BodyTextIndentChar">
    <w:name w:val="Body Text Indent Char"/>
    <w:link w:val="BodyTextIndent"/>
    <w:rsid w:val="00A76B02"/>
    <w:rPr>
      <w:sz w:val="24"/>
      <w:szCs w:val="24"/>
      <w:lang w:eastAsia="en-US"/>
    </w:rPr>
  </w:style>
  <w:style w:type="character" w:customStyle="1" w:styleId="tomtattinb">
    <w:name w:val="tomtattinb"/>
    <w:rsid w:val="008E52EC"/>
  </w:style>
</w:styles>
</file>

<file path=word/webSettings.xml><?xml version="1.0" encoding="utf-8"?>
<w:webSettings xmlns:r="http://schemas.openxmlformats.org/officeDocument/2006/relationships" xmlns:w="http://schemas.openxmlformats.org/wordprocessingml/2006/main">
  <w:divs>
    <w:div w:id="551770924">
      <w:bodyDiv w:val="1"/>
      <w:marLeft w:val="0"/>
      <w:marRight w:val="0"/>
      <w:marTop w:val="0"/>
      <w:marBottom w:val="0"/>
      <w:divBdr>
        <w:top w:val="none" w:sz="0" w:space="0" w:color="auto"/>
        <w:left w:val="none" w:sz="0" w:space="0" w:color="auto"/>
        <w:bottom w:val="none" w:sz="0" w:space="0" w:color="auto"/>
        <w:right w:val="none" w:sz="0" w:space="0" w:color="auto"/>
      </w:divBdr>
    </w:div>
    <w:div w:id="1081409885">
      <w:bodyDiv w:val="1"/>
      <w:marLeft w:val="0"/>
      <w:marRight w:val="0"/>
      <w:marTop w:val="0"/>
      <w:marBottom w:val="0"/>
      <w:divBdr>
        <w:top w:val="none" w:sz="0" w:space="0" w:color="auto"/>
        <w:left w:val="none" w:sz="0" w:space="0" w:color="auto"/>
        <w:bottom w:val="none" w:sz="0" w:space="0" w:color="auto"/>
        <w:right w:val="none" w:sz="0" w:space="0" w:color="auto"/>
      </w:divBdr>
    </w:div>
    <w:div w:id="1644894214">
      <w:bodyDiv w:val="1"/>
      <w:marLeft w:val="0"/>
      <w:marRight w:val="0"/>
      <w:marTop w:val="0"/>
      <w:marBottom w:val="0"/>
      <w:divBdr>
        <w:top w:val="none" w:sz="0" w:space="0" w:color="auto"/>
        <w:left w:val="none" w:sz="0" w:space="0" w:color="auto"/>
        <w:bottom w:val="none" w:sz="0" w:space="0" w:color="auto"/>
        <w:right w:val="none" w:sz="0" w:space="0" w:color="auto"/>
      </w:divBdr>
    </w:div>
    <w:div w:id="17546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6311</Words>
  <Characters>35978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Côc kiÓm so¸t</vt:lpstr>
    </vt:vector>
  </TitlesOfParts>
  <Company>Toshiba</Company>
  <LinksUpToDate>false</LinksUpToDate>
  <CharactersWithSpaces>42205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Côc kiÓm so¸t</dc:title>
  <dc:subject/>
  <dc:creator>thuyanh</dc:creator>
  <cp:keywords/>
  <cp:lastModifiedBy>Quantd</cp:lastModifiedBy>
  <cp:revision>2</cp:revision>
  <cp:lastPrinted>2013-11-14T00:56:00Z</cp:lastPrinted>
  <dcterms:created xsi:type="dcterms:W3CDTF">2016-01-04T01:53:00Z</dcterms:created>
  <dcterms:modified xsi:type="dcterms:W3CDTF">2016-01-04T01:53:00Z</dcterms:modified>
</cp:coreProperties>
</file>